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C5576" w14:textId="15A37A9B" w:rsidR="00762ABB" w:rsidRPr="008866C5" w:rsidRDefault="00762ABB" w:rsidP="00762ABB">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21bis</w:t>
      </w:r>
      <w:r w:rsidRPr="00273715">
        <w:rPr>
          <w:rFonts w:cs="Arial"/>
          <w:noProof w:val="0"/>
          <w:sz w:val="24"/>
          <w:lang w:eastAsia="zh-CN"/>
        </w:rPr>
        <w:tab/>
      </w:r>
      <w:r w:rsidR="007756B9" w:rsidRPr="007756B9">
        <w:rPr>
          <w:rFonts w:cs="Arial"/>
          <w:noProof w:val="0"/>
          <w:sz w:val="24"/>
          <w:lang w:eastAsia="zh-CN"/>
        </w:rPr>
        <w:t>R3-235237</w:t>
      </w:r>
    </w:p>
    <w:p w14:paraId="7C276C8D" w14:textId="77777777" w:rsidR="00762ABB" w:rsidRDefault="00762ABB" w:rsidP="00762ABB">
      <w:pPr>
        <w:pStyle w:val="a3"/>
        <w:tabs>
          <w:tab w:val="right" w:pos="9639"/>
        </w:tabs>
        <w:jc w:val="both"/>
        <w:rPr>
          <w:rFonts w:cs="Arial"/>
          <w:bCs/>
          <w:noProof w:val="0"/>
          <w:sz w:val="24"/>
          <w:szCs w:val="24"/>
        </w:rPr>
      </w:pPr>
      <w:r>
        <w:rPr>
          <w:rFonts w:cs="Arial"/>
          <w:bCs/>
          <w:noProof w:val="0"/>
          <w:sz w:val="24"/>
          <w:szCs w:val="24"/>
        </w:rPr>
        <w:t>Xiamen, China, 9</w:t>
      </w:r>
      <w:r w:rsidRPr="00F14A45">
        <w:rPr>
          <w:rFonts w:cs="Arial"/>
          <w:bCs/>
          <w:noProof w:val="0"/>
          <w:sz w:val="24"/>
          <w:szCs w:val="24"/>
          <w:vertAlign w:val="superscript"/>
        </w:rPr>
        <w:t>th</w:t>
      </w:r>
      <w:r>
        <w:rPr>
          <w:rFonts w:cs="Arial"/>
          <w:bCs/>
          <w:noProof w:val="0"/>
          <w:sz w:val="24"/>
          <w:szCs w:val="24"/>
        </w:rPr>
        <w:t xml:space="preserve"> – 13</w:t>
      </w:r>
      <w:r w:rsidRPr="00F14A45">
        <w:rPr>
          <w:rFonts w:cs="Arial"/>
          <w:bCs/>
          <w:noProof w:val="0"/>
          <w:sz w:val="24"/>
          <w:szCs w:val="24"/>
          <w:vertAlign w:val="superscript"/>
        </w:rPr>
        <w:t>th</w:t>
      </w:r>
      <w:r>
        <w:rPr>
          <w:rFonts w:cs="Arial"/>
          <w:bCs/>
          <w:noProof w:val="0"/>
          <w:sz w:val="24"/>
          <w:szCs w:val="24"/>
        </w:rPr>
        <w:t xml:space="preserve"> October </w:t>
      </w:r>
      <w:r w:rsidRPr="00663AA3">
        <w:rPr>
          <w:rFonts w:cs="Arial"/>
          <w:bCs/>
          <w:noProof w:val="0"/>
          <w:sz w:val="24"/>
          <w:szCs w:val="24"/>
        </w:rPr>
        <w:t>2023</w:t>
      </w:r>
    </w:p>
    <w:p w14:paraId="5977401F" w14:textId="77777777" w:rsidR="00945A08" w:rsidRPr="00762ABB" w:rsidRDefault="00945A08" w:rsidP="00246389">
      <w:pPr>
        <w:pStyle w:val="ad"/>
        <w:rPr>
          <w:rFonts w:eastAsiaTheme="minorEastAsia"/>
          <w:lang w:eastAsia="zh-CN"/>
        </w:rPr>
      </w:pPr>
    </w:p>
    <w:p w14:paraId="061B5772" w14:textId="72E823E0"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980853">
        <w:rPr>
          <w:rFonts w:ascii="Arial" w:hAnsi="Arial" w:cs="Arial"/>
          <w:b/>
          <w:bCs/>
          <w:sz w:val="24"/>
          <w:lang w:val="en-US"/>
        </w:rPr>
        <w:t>11.</w:t>
      </w:r>
      <w:r w:rsidR="00143016">
        <w:rPr>
          <w:rFonts w:ascii="Arial" w:hAnsi="Arial" w:cs="Arial"/>
          <w:b/>
          <w:bCs/>
          <w:sz w:val="24"/>
          <w:lang w:val="en-US"/>
        </w:rPr>
        <w:t>4</w:t>
      </w:r>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
    <w:p w14:paraId="46AD591E" w14:textId="2B39FB66"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8636B9">
        <w:rPr>
          <w:rFonts w:ascii="Arial" w:hAnsi="Arial" w:cs="Arial"/>
          <w:b/>
          <w:bCs/>
          <w:sz w:val="24"/>
          <w:lang w:val="en-US"/>
        </w:rPr>
        <w:t xml:space="preserve">Remaining issues on </w:t>
      </w:r>
      <w:r w:rsidR="008636B9" w:rsidRPr="008636B9">
        <w:rPr>
          <w:rFonts w:ascii="Arial" w:hAnsi="Arial" w:cs="Arial"/>
          <w:b/>
          <w:bCs/>
          <w:sz w:val="24"/>
          <w:lang w:val="en-US"/>
        </w:rPr>
        <w:t>QoE measurement during intra-5GC inter-RAT handover</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2AE2D57D" w:rsidR="007D7548" w:rsidRPr="000A5739" w:rsidRDefault="00600B41" w:rsidP="00F32754">
      <w:pPr>
        <w:pStyle w:val="B1"/>
        <w:spacing w:after="0"/>
        <w:ind w:left="0" w:firstLine="0"/>
        <w:rPr>
          <w:rFonts w:asciiTheme="majorHAnsi" w:eastAsiaTheme="minorEastAsia" w:hAnsiTheme="majorHAnsi" w:cs="Arial"/>
          <w:shd w:val="clear" w:color="auto" w:fill="FFFFFF"/>
          <w:lang w:eastAsia="zh-CN"/>
        </w:rPr>
      </w:pPr>
      <w:r>
        <w:rPr>
          <w:rFonts w:asciiTheme="majorHAnsi" w:eastAsiaTheme="minorEastAsia" w:hAnsiTheme="majorHAnsi" w:cs="Arial" w:hint="eastAsia"/>
          <w:shd w:val="clear" w:color="auto" w:fill="FFFFFF"/>
          <w:lang w:eastAsia="zh-CN"/>
        </w:rPr>
        <w:t>Th</w:t>
      </w:r>
      <w:r>
        <w:rPr>
          <w:rFonts w:asciiTheme="majorHAnsi" w:eastAsiaTheme="minorEastAsia" w:hAnsiTheme="majorHAnsi" w:cs="Arial"/>
          <w:shd w:val="clear" w:color="auto" w:fill="FFFFFF"/>
          <w:lang w:eastAsia="zh-CN"/>
        </w:rPr>
        <w:t xml:space="preserve">is contribution discusses the potential issues on </w:t>
      </w:r>
      <w:r w:rsidR="000A5739" w:rsidRPr="000A5739">
        <w:rPr>
          <w:rFonts w:asciiTheme="majorHAnsi" w:eastAsiaTheme="minorEastAsia" w:hAnsiTheme="majorHAnsi" w:cs="Arial"/>
          <w:shd w:val="clear" w:color="auto" w:fill="FFFFFF"/>
          <w:lang w:eastAsia="zh-CN"/>
        </w:rPr>
        <w:t>QoE measurement during intra-5GC inter-RAT handover</w:t>
      </w:r>
      <w:r w:rsidR="00315B81">
        <w:rPr>
          <w:rFonts w:asciiTheme="majorHAnsi" w:eastAsiaTheme="minorEastAsia" w:hAnsiTheme="majorHAnsi" w:cs="Arial"/>
          <w:shd w:val="clear" w:color="auto" w:fill="FFFFFF"/>
          <w:lang w:eastAsia="zh-CN"/>
        </w:rPr>
        <w:t>.</w:t>
      </w:r>
    </w:p>
    <w:p w14:paraId="7D3FE11E" w14:textId="0F98393E"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8636B9">
        <w:rPr>
          <w:rFonts w:eastAsia="宋体" w:cs="Arial"/>
          <w:b/>
          <w:sz w:val="32"/>
          <w:szCs w:val="32"/>
          <w:lang w:val="en-US" w:eastAsia="zh-CN"/>
        </w:rPr>
        <w:t>Discussion</w:t>
      </w:r>
    </w:p>
    <w:p w14:paraId="39632586" w14:textId="77777777" w:rsidR="00D0727F" w:rsidRDefault="00D0727F" w:rsidP="00D0727F">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In RAN3#119bis-e meeting, it was agreed and FFSs:</w:t>
      </w:r>
    </w:p>
    <w:p w14:paraId="2BA3593A" w14:textId="77777777" w:rsidR="00D0727F" w:rsidRPr="00E361AE" w:rsidRDefault="00D0727F" w:rsidP="00D0727F">
      <w:pPr>
        <w:widowControl w:val="0"/>
        <w:spacing w:after="0"/>
        <w:rPr>
          <w:rFonts w:ascii="Calibri" w:hAnsi="Calibri" w:cs="Calibri"/>
          <w:b/>
          <w:color w:val="008000"/>
          <w:sz w:val="18"/>
          <w:lang w:eastAsia="en-US"/>
        </w:rPr>
      </w:pPr>
      <w:r w:rsidRPr="00E361AE">
        <w:rPr>
          <w:rFonts w:ascii="Calibri" w:hAnsi="Calibri" w:cs="Calibri"/>
          <w:b/>
          <w:color w:val="008000"/>
          <w:sz w:val="18"/>
          <w:lang w:eastAsia="en-US"/>
        </w:rPr>
        <w:t>WA: For HO from LTE/5GC to NR, there is no impacts to RAN3.</w:t>
      </w:r>
    </w:p>
    <w:p w14:paraId="34A2CDDA" w14:textId="77777777" w:rsidR="00D0727F" w:rsidRDefault="00D0727F" w:rsidP="00D0727F">
      <w:pPr>
        <w:widowControl w:val="0"/>
        <w:spacing w:afterLines="50" w:after="120"/>
        <w:rPr>
          <w:rFonts w:ascii="Calibri" w:hAnsi="Calibri" w:cs="Calibri"/>
          <w:b/>
          <w:color w:val="0000FF"/>
          <w:sz w:val="18"/>
          <w:lang w:eastAsia="en-US"/>
        </w:rPr>
      </w:pPr>
      <w:r w:rsidRPr="00E361AE">
        <w:rPr>
          <w:rFonts w:ascii="Calibri" w:hAnsi="Calibri" w:cs="Calibri"/>
          <w:b/>
          <w:color w:val="0000FF"/>
          <w:sz w:val="18"/>
          <w:lang w:eastAsia="en-US"/>
        </w:rPr>
        <w:t>For HO from NR to LTE/5GC case, identify the impact on RAN3</w:t>
      </w:r>
    </w:p>
    <w:p w14:paraId="64BFFE7B" w14:textId="77777777" w:rsidR="00D0727F" w:rsidRDefault="00D0727F" w:rsidP="00D0727F">
      <w:pPr>
        <w:pStyle w:val="Proposal"/>
        <w:numPr>
          <w:ilvl w:val="0"/>
          <w:numId w:val="0"/>
        </w:numPr>
        <w:jc w:val="left"/>
        <w:rPr>
          <w:rFonts w:asciiTheme="majorHAnsi" w:eastAsiaTheme="minorEastAsia" w:hAnsiTheme="majorHAnsi"/>
          <w:b w:val="0"/>
          <w:bCs w:val="0"/>
        </w:rPr>
      </w:pPr>
      <w:r w:rsidRPr="00300B4D">
        <w:rPr>
          <w:rFonts w:asciiTheme="majorHAnsi" w:eastAsiaTheme="minorEastAsia" w:hAnsiTheme="majorHAnsi" w:hint="eastAsia"/>
          <w:b w:val="0"/>
          <w:bCs w:val="0"/>
        </w:rPr>
        <w:t>I</w:t>
      </w:r>
      <w:r w:rsidRPr="00300B4D">
        <w:rPr>
          <w:rFonts w:asciiTheme="majorHAnsi" w:eastAsiaTheme="minorEastAsia" w:hAnsiTheme="majorHAnsi"/>
          <w:b w:val="0"/>
          <w:bCs w:val="0"/>
        </w:rPr>
        <w:t xml:space="preserve">n </w:t>
      </w:r>
      <w:r>
        <w:rPr>
          <w:rFonts w:asciiTheme="majorHAnsi" w:eastAsiaTheme="minorEastAsia" w:hAnsiTheme="majorHAnsi"/>
          <w:b w:val="0"/>
          <w:bCs w:val="0"/>
        </w:rPr>
        <w:t>RAN3#120 meeting, it was agreed that:</w:t>
      </w:r>
    </w:p>
    <w:p w14:paraId="3492B02B" w14:textId="77777777" w:rsidR="00D0727F" w:rsidRDefault="00D0727F" w:rsidP="00D0727F">
      <w:pPr>
        <w:pStyle w:val="26"/>
        <w:overflowPunct w:val="0"/>
        <w:autoSpaceDE w:val="0"/>
        <w:adjustRightInd w:val="0"/>
        <w:spacing w:before="0" w:beforeAutospacing="0" w:after="120"/>
        <w:ind w:left="0"/>
        <w:contextualSpacing w:val="0"/>
        <w:textAlignment w:val="baseline"/>
        <w:rPr>
          <w:rFonts w:ascii="Calibri" w:hAnsi="Calibri" w:cs="Calibri"/>
          <w:b/>
          <w:color w:val="008000"/>
          <w:sz w:val="18"/>
          <w:szCs w:val="22"/>
          <w:lang w:eastAsia="en-US"/>
        </w:rPr>
      </w:pPr>
      <w:r w:rsidRPr="00511810">
        <w:rPr>
          <w:rFonts w:ascii="Calibri" w:hAnsi="Calibri" w:cs="Calibri"/>
          <w:b/>
          <w:color w:val="008000"/>
          <w:sz w:val="18"/>
          <w:szCs w:val="22"/>
          <w:lang w:eastAsia="en-US"/>
        </w:rPr>
        <w:t xml:space="preserve">WA: From NR to LTE, the source node adapts to the target node on deciding </w:t>
      </w:r>
      <w:r>
        <w:rPr>
          <w:rFonts w:ascii="Calibri" w:hAnsi="Calibri" w:cs="Calibri"/>
          <w:b/>
          <w:color w:val="008000"/>
          <w:sz w:val="18"/>
          <w:szCs w:val="22"/>
          <w:lang w:eastAsia="en-US"/>
        </w:rPr>
        <w:t>which one of the</w:t>
      </w:r>
      <w:r w:rsidRPr="00511810">
        <w:rPr>
          <w:rFonts w:ascii="Calibri" w:hAnsi="Calibri" w:cs="Calibri"/>
          <w:b/>
          <w:color w:val="008000"/>
          <w:sz w:val="18"/>
          <w:szCs w:val="22"/>
          <w:lang w:eastAsia="en-US"/>
        </w:rPr>
        <w:t xml:space="preserve"> QoE configuration to keep.</w:t>
      </w:r>
    </w:p>
    <w:p w14:paraId="58ECB23F" w14:textId="7DF18D3B" w:rsidR="00905A77" w:rsidRPr="00905A77" w:rsidRDefault="00905A77" w:rsidP="00905A77">
      <w:pPr>
        <w:pStyle w:val="Proposal"/>
        <w:numPr>
          <w:ilvl w:val="0"/>
          <w:numId w:val="0"/>
        </w:numPr>
        <w:jc w:val="left"/>
        <w:rPr>
          <w:rFonts w:asciiTheme="majorHAnsi" w:eastAsiaTheme="minorEastAsia" w:hAnsiTheme="majorHAnsi"/>
          <w:b w:val="0"/>
          <w:bCs w:val="0"/>
        </w:rPr>
      </w:pPr>
      <w:r w:rsidRPr="00905A77">
        <w:rPr>
          <w:rFonts w:asciiTheme="majorHAnsi" w:eastAsiaTheme="minorEastAsia" w:hAnsiTheme="majorHAnsi" w:hint="eastAsia"/>
          <w:b w:val="0"/>
          <w:bCs w:val="0"/>
        </w:rPr>
        <w:t>I</w:t>
      </w:r>
      <w:r w:rsidRPr="00905A77">
        <w:rPr>
          <w:rFonts w:asciiTheme="majorHAnsi" w:eastAsiaTheme="minorEastAsia" w:hAnsiTheme="majorHAnsi"/>
          <w:b w:val="0"/>
          <w:bCs w:val="0"/>
        </w:rPr>
        <w:t>n RAN3#121, it was further agreed that:</w:t>
      </w:r>
    </w:p>
    <w:p w14:paraId="0EB52900" w14:textId="0DBF61D6" w:rsidR="0089657D" w:rsidRPr="00905A77" w:rsidRDefault="002223DD" w:rsidP="00905A77">
      <w:pPr>
        <w:pStyle w:val="26"/>
        <w:overflowPunct w:val="0"/>
        <w:autoSpaceDE w:val="0"/>
        <w:adjustRightInd w:val="0"/>
        <w:spacing w:before="0" w:beforeAutospacing="0" w:after="120"/>
        <w:ind w:left="0"/>
        <w:contextualSpacing w:val="0"/>
        <w:textAlignment w:val="baseline"/>
        <w:rPr>
          <w:rFonts w:ascii="Calibri" w:hAnsi="Calibri" w:cs="Calibri"/>
          <w:b/>
          <w:color w:val="008000"/>
          <w:sz w:val="18"/>
          <w:szCs w:val="22"/>
          <w:lang w:eastAsia="en-US"/>
        </w:rPr>
      </w:pPr>
      <w:r w:rsidRPr="00905A77">
        <w:rPr>
          <w:rFonts w:ascii="Calibri" w:hAnsi="Calibri" w:cs="Calibri"/>
          <w:b/>
          <w:color w:val="008000"/>
          <w:sz w:val="18"/>
          <w:szCs w:val="22"/>
          <w:lang w:eastAsia="en-US"/>
        </w:rPr>
        <w:t>QoE measurement continuity from NR to LTE/5GC and vice versa can be supported by the current Area Scope for QMC IE.</w:t>
      </w:r>
    </w:p>
    <w:p w14:paraId="471FD2F6" w14:textId="77777777" w:rsidR="00905A77" w:rsidRPr="00905A77" w:rsidRDefault="00905A77" w:rsidP="00905A77">
      <w:pPr>
        <w:pStyle w:val="26"/>
        <w:overflowPunct w:val="0"/>
        <w:autoSpaceDE w:val="0"/>
        <w:adjustRightInd w:val="0"/>
        <w:spacing w:before="0" w:beforeAutospacing="0" w:after="120"/>
        <w:ind w:left="0"/>
        <w:contextualSpacing w:val="0"/>
        <w:textAlignment w:val="baseline"/>
        <w:rPr>
          <w:rFonts w:ascii="Calibri" w:hAnsi="Calibri" w:cs="Calibri"/>
          <w:b/>
          <w:color w:val="008000"/>
          <w:sz w:val="18"/>
          <w:szCs w:val="22"/>
          <w:lang w:eastAsia="en-US"/>
        </w:rPr>
      </w:pPr>
      <w:r w:rsidRPr="00905A77">
        <w:rPr>
          <w:rFonts w:ascii="Calibri" w:hAnsi="Calibri" w:cs="Calibri"/>
          <w:b/>
          <w:color w:val="008000"/>
          <w:sz w:val="18"/>
          <w:szCs w:val="22"/>
          <w:lang w:eastAsia="en-US"/>
        </w:rPr>
        <w:t>The scenario where a UE is handed over from NR to LTE/5GC and then back to NR is not considered in the context of continuity of QoE measurements during intra-5GC inter-RAT HO.</w:t>
      </w:r>
    </w:p>
    <w:p w14:paraId="228AEFD7" w14:textId="2AED08A0" w:rsidR="00905A77" w:rsidRDefault="00905A77" w:rsidP="00905A77">
      <w:pPr>
        <w:pStyle w:val="26"/>
        <w:overflowPunct w:val="0"/>
        <w:autoSpaceDE w:val="0"/>
        <w:adjustRightInd w:val="0"/>
        <w:spacing w:before="0" w:beforeAutospacing="0" w:after="120"/>
        <w:ind w:left="0"/>
        <w:contextualSpacing w:val="0"/>
        <w:textAlignment w:val="baseline"/>
        <w:rPr>
          <w:rFonts w:ascii="Calibri" w:hAnsi="Calibri" w:cs="Calibri"/>
          <w:b/>
          <w:color w:val="008000"/>
          <w:sz w:val="18"/>
          <w:szCs w:val="22"/>
          <w:lang w:eastAsia="en-US"/>
        </w:rPr>
      </w:pPr>
      <w:r w:rsidRPr="00905A77">
        <w:rPr>
          <w:rFonts w:ascii="Calibri" w:hAnsi="Calibri" w:cs="Calibri"/>
          <w:b/>
          <w:color w:val="008000"/>
          <w:sz w:val="18"/>
          <w:szCs w:val="22"/>
          <w:lang w:eastAsia="en-US"/>
        </w:rPr>
        <w:t>HO from LTE/5GC to NR can be supported without introducing any new IEs.</w:t>
      </w:r>
    </w:p>
    <w:p w14:paraId="65175325" w14:textId="7BD7095E" w:rsidR="00EE4615" w:rsidRPr="00EE4615" w:rsidRDefault="00EE4615" w:rsidP="00EE4615">
      <w:pPr>
        <w:pStyle w:val="B1"/>
        <w:spacing w:afterLines="50" w:after="120"/>
        <w:ind w:left="0" w:firstLine="0"/>
        <w:rPr>
          <w:rFonts w:asciiTheme="majorHAnsi" w:eastAsiaTheme="minorEastAsia" w:hAnsiTheme="majorHAnsi" w:cs="Arial"/>
          <w:shd w:val="clear" w:color="auto" w:fill="FFFFFF"/>
          <w:lang w:eastAsia="zh-CN"/>
        </w:rPr>
      </w:pPr>
      <w:r w:rsidRPr="00EE4615">
        <w:rPr>
          <w:rFonts w:asciiTheme="majorHAnsi" w:eastAsiaTheme="minorEastAsia" w:hAnsiTheme="majorHAnsi" w:cs="Arial" w:hint="eastAsia"/>
          <w:shd w:val="clear" w:color="auto" w:fill="FFFFFF"/>
          <w:lang w:eastAsia="zh-CN"/>
        </w:rPr>
        <w:t>H</w:t>
      </w:r>
      <w:r w:rsidRPr="00EE4615">
        <w:rPr>
          <w:rFonts w:asciiTheme="majorHAnsi" w:eastAsiaTheme="minorEastAsia" w:hAnsiTheme="majorHAnsi" w:cs="Arial"/>
          <w:shd w:val="clear" w:color="auto" w:fill="FFFFFF"/>
          <w:lang w:eastAsia="zh-CN"/>
        </w:rPr>
        <w:t xml:space="preserve">owever, </w:t>
      </w:r>
      <w:r>
        <w:rPr>
          <w:rFonts w:asciiTheme="majorHAnsi" w:eastAsiaTheme="minorEastAsia" w:hAnsiTheme="majorHAnsi" w:cs="Arial"/>
          <w:shd w:val="clear" w:color="auto" w:fill="FFFFFF"/>
          <w:lang w:eastAsia="zh-CN"/>
        </w:rPr>
        <w:t xml:space="preserve">there are </w:t>
      </w:r>
      <w:r w:rsidR="00C62FE4">
        <w:rPr>
          <w:rFonts w:asciiTheme="majorHAnsi" w:eastAsiaTheme="minorEastAsia" w:hAnsiTheme="majorHAnsi" w:cs="Arial"/>
          <w:shd w:val="clear" w:color="auto" w:fill="FFFFFF"/>
          <w:lang w:eastAsia="zh-CN"/>
        </w:rPr>
        <w:t xml:space="preserve">following </w:t>
      </w:r>
      <w:r w:rsidR="007A32A0">
        <w:rPr>
          <w:rFonts w:asciiTheme="majorHAnsi" w:eastAsiaTheme="minorEastAsia" w:hAnsiTheme="majorHAnsi" w:cs="Arial"/>
          <w:shd w:val="clear" w:color="auto" w:fill="FFFFFF"/>
          <w:lang w:eastAsia="zh-CN"/>
        </w:rPr>
        <w:t>remaining issues:</w:t>
      </w:r>
    </w:p>
    <w:tbl>
      <w:tblPr>
        <w:tblStyle w:val="afc"/>
        <w:tblW w:w="0" w:type="auto"/>
        <w:tblLook w:val="04A0" w:firstRow="1" w:lastRow="0" w:firstColumn="1" w:lastColumn="0" w:noHBand="0" w:noVBand="1"/>
      </w:tblPr>
      <w:tblGrid>
        <w:gridCol w:w="8296"/>
      </w:tblGrid>
      <w:tr w:rsidR="00EE4615" w14:paraId="1EF1E4E0" w14:textId="77777777" w:rsidTr="008B08CF">
        <w:tc>
          <w:tcPr>
            <w:tcW w:w="8296" w:type="dxa"/>
          </w:tcPr>
          <w:p w14:paraId="33030FAC" w14:textId="77777777" w:rsidR="00EE4615" w:rsidRPr="00413815" w:rsidRDefault="00EE4615" w:rsidP="008B08CF">
            <w:pPr>
              <w:keepNext/>
              <w:keepLines/>
              <w:spacing w:before="120"/>
              <w:outlineLvl w:val="3"/>
              <w:rPr>
                <w:rFonts w:ascii="Arial" w:hAnsi="Arial"/>
                <w:sz w:val="24"/>
                <w:lang w:eastAsia="ja-JP"/>
              </w:rPr>
            </w:pPr>
            <w:bookmarkStart w:id="0" w:name="_Toc60776863"/>
            <w:bookmarkStart w:id="1" w:name="_Toc139045125"/>
            <w:bookmarkStart w:id="2" w:name="OLE_LINK7"/>
            <w:r w:rsidRPr="00413815">
              <w:rPr>
                <w:rFonts w:ascii="Arial" w:hAnsi="Arial"/>
                <w:sz w:val="24"/>
                <w:lang w:eastAsia="ja-JP"/>
              </w:rPr>
              <w:t>5.4.3.4</w:t>
            </w:r>
            <w:r w:rsidRPr="00413815">
              <w:rPr>
                <w:rFonts w:ascii="Arial" w:hAnsi="Arial"/>
                <w:sz w:val="24"/>
                <w:lang w:eastAsia="ja-JP"/>
              </w:rPr>
              <w:tab/>
              <w:t>Successful completion of the mobility from NR</w:t>
            </w:r>
            <w:bookmarkEnd w:id="0"/>
            <w:bookmarkEnd w:id="1"/>
          </w:p>
          <w:p w14:paraId="177D18A5" w14:textId="77777777" w:rsidR="00EE4615" w:rsidRPr="00413815" w:rsidRDefault="00EE4615" w:rsidP="008B08CF">
            <w:pPr>
              <w:rPr>
                <w:lang w:eastAsia="ja-JP"/>
              </w:rPr>
            </w:pPr>
            <w:r w:rsidRPr="00413815">
              <w:rPr>
                <w:lang w:eastAsia="ja-JP"/>
              </w:rPr>
              <w:t>Upon successfully completing the handover, at the source side the UE shall:</w:t>
            </w:r>
          </w:p>
          <w:p w14:paraId="35273FA5" w14:textId="77777777" w:rsidR="00EE4615" w:rsidRPr="00413815" w:rsidRDefault="00EE4615" w:rsidP="008B08CF">
            <w:pPr>
              <w:ind w:left="568" w:hanging="284"/>
              <w:rPr>
                <w:lang w:eastAsia="ja-JP"/>
              </w:rPr>
            </w:pPr>
            <w:r w:rsidRPr="00413815">
              <w:rPr>
                <w:lang w:eastAsia="ja-JP"/>
              </w:rPr>
              <w:t>1&gt;</w:t>
            </w:r>
            <w:r w:rsidRPr="00413815">
              <w:rPr>
                <w:lang w:eastAsia="ja-JP"/>
              </w:rPr>
              <w:tab/>
              <w:t>reset MAC;</w:t>
            </w:r>
          </w:p>
          <w:p w14:paraId="3DC15E48" w14:textId="77777777" w:rsidR="00EE4615" w:rsidRPr="00413815" w:rsidRDefault="00EE4615" w:rsidP="008B08CF">
            <w:pPr>
              <w:ind w:left="568" w:hanging="284"/>
              <w:rPr>
                <w:lang w:eastAsia="ja-JP"/>
              </w:rPr>
            </w:pPr>
            <w:r w:rsidRPr="00413815">
              <w:rPr>
                <w:lang w:eastAsia="ja-JP"/>
              </w:rPr>
              <w:t>1&gt;</w:t>
            </w:r>
            <w:r w:rsidRPr="00413815">
              <w:rPr>
                <w:lang w:eastAsia="ja-JP"/>
              </w:rPr>
              <w:tab/>
              <w:t>stop all timers that are running except T325, T330 and T400;</w:t>
            </w:r>
          </w:p>
          <w:p w14:paraId="3E4AB29E" w14:textId="77777777" w:rsidR="00EE4615" w:rsidRPr="00413815" w:rsidRDefault="00EE4615" w:rsidP="008B08CF">
            <w:pPr>
              <w:ind w:left="568" w:hanging="284"/>
              <w:rPr>
                <w:lang w:eastAsia="ja-JP"/>
              </w:rPr>
            </w:pPr>
            <w:r w:rsidRPr="00413815">
              <w:rPr>
                <w:lang w:eastAsia="ja-JP"/>
              </w:rPr>
              <w:t>1&gt;</w:t>
            </w:r>
            <w:r w:rsidRPr="00413815">
              <w:rPr>
                <w:lang w:eastAsia="ja-JP"/>
              </w:rPr>
              <w:tab/>
              <w:t xml:space="preserve">release </w:t>
            </w:r>
            <w:r w:rsidRPr="00413815">
              <w:rPr>
                <w:i/>
                <w:lang w:eastAsia="ja-JP"/>
              </w:rPr>
              <w:t>ran-NotificationAreaInfo</w:t>
            </w:r>
            <w:r w:rsidRPr="00413815">
              <w:rPr>
                <w:lang w:eastAsia="ja-JP"/>
              </w:rPr>
              <w:t>, if stored;</w:t>
            </w:r>
          </w:p>
          <w:p w14:paraId="52B335A8" w14:textId="77777777" w:rsidR="00EE4615" w:rsidRPr="00413815" w:rsidRDefault="00EE4615" w:rsidP="008B08CF">
            <w:pPr>
              <w:ind w:left="568" w:hanging="284"/>
              <w:rPr>
                <w:lang w:eastAsia="ja-JP"/>
              </w:rPr>
            </w:pPr>
            <w:r w:rsidRPr="00413815">
              <w:rPr>
                <w:lang w:eastAsia="ja-JP"/>
              </w:rPr>
              <w:t>1&gt;</w:t>
            </w:r>
            <w:r w:rsidRPr="00413815">
              <w:rPr>
                <w:lang w:eastAsia="ja-JP"/>
              </w:rPr>
              <w:tab/>
              <w:t>release the AS security context including the K</w:t>
            </w:r>
            <w:r w:rsidRPr="00413815">
              <w:rPr>
                <w:vertAlign w:val="subscript"/>
                <w:lang w:eastAsia="ja-JP"/>
              </w:rPr>
              <w:t>RRCenc</w:t>
            </w:r>
            <w:r w:rsidRPr="00413815">
              <w:rPr>
                <w:lang w:eastAsia="ja-JP"/>
              </w:rPr>
              <w:t xml:space="preserve"> key, the K</w:t>
            </w:r>
            <w:r w:rsidRPr="00413815">
              <w:rPr>
                <w:vertAlign w:val="subscript"/>
                <w:lang w:eastAsia="ja-JP"/>
              </w:rPr>
              <w:t>RRCint</w:t>
            </w:r>
            <w:r w:rsidRPr="00413815">
              <w:rPr>
                <w:lang w:eastAsia="ja-JP"/>
              </w:rPr>
              <w:t xml:space="preserve"> key, the K</w:t>
            </w:r>
            <w:r w:rsidRPr="00413815">
              <w:rPr>
                <w:vertAlign w:val="subscript"/>
                <w:lang w:eastAsia="ja-JP"/>
              </w:rPr>
              <w:t>UPint</w:t>
            </w:r>
            <w:r w:rsidRPr="00413815">
              <w:rPr>
                <w:lang w:eastAsia="ja-JP"/>
              </w:rPr>
              <w:t xml:space="preserve"> key and the K</w:t>
            </w:r>
            <w:r w:rsidRPr="00413815">
              <w:rPr>
                <w:vertAlign w:val="subscript"/>
                <w:lang w:eastAsia="ja-JP"/>
              </w:rPr>
              <w:t>UPenc</w:t>
            </w:r>
            <w:r w:rsidRPr="00413815">
              <w:rPr>
                <w:lang w:eastAsia="ja-JP"/>
              </w:rPr>
              <w:t xml:space="preserve"> key, if stored;</w:t>
            </w:r>
          </w:p>
          <w:p w14:paraId="401E5B34" w14:textId="77777777" w:rsidR="00EE4615" w:rsidRPr="00413815" w:rsidRDefault="00EE4615" w:rsidP="008B08CF">
            <w:pPr>
              <w:ind w:left="568" w:hanging="284"/>
              <w:rPr>
                <w:lang w:eastAsia="ja-JP"/>
              </w:rPr>
            </w:pPr>
            <w:r w:rsidRPr="00413815">
              <w:rPr>
                <w:lang w:eastAsia="ja-JP"/>
              </w:rPr>
              <w:t>1&gt;</w:t>
            </w:r>
            <w:r w:rsidRPr="00413815">
              <w:rPr>
                <w:lang w:eastAsia="ja-JP"/>
              </w:rPr>
              <w:tab/>
              <w:t>release all radio resources, including release of the RLC entity and the MAC configuration;</w:t>
            </w:r>
          </w:p>
          <w:p w14:paraId="679DA651" w14:textId="77777777" w:rsidR="00EE4615" w:rsidRPr="00413815" w:rsidRDefault="00EE4615" w:rsidP="008B08CF">
            <w:pPr>
              <w:ind w:left="568" w:hanging="284"/>
              <w:rPr>
                <w:lang w:eastAsia="ja-JP"/>
              </w:rPr>
            </w:pPr>
            <w:r w:rsidRPr="00413815">
              <w:rPr>
                <w:lang w:eastAsia="ja-JP"/>
              </w:rPr>
              <w:t>1&gt;</w:t>
            </w:r>
            <w:r w:rsidRPr="00413815">
              <w:rPr>
                <w:lang w:eastAsia="ja-JP"/>
              </w:rPr>
              <w:tab/>
              <w:t>release the associated PDCP entity and SDAP entity for all established RBs;</w:t>
            </w:r>
          </w:p>
          <w:p w14:paraId="260255C2" w14:textId="77777777" w:rsidR="00EE4615" w:rsidRPr="00413815" w:rsidRDefault="00EE4615" w:rsidP="008B08CF">
            <w:pPr>
              <w:keepLines/>
              <w:ind w:left="1135" w:hanging="851"/>
              <w:rPr>
                <w:lang w:eastAsia="ja-JP"/>
              </w:rPr>
            </w:pPr>
            <w:r w:rsidRPr="00413815">
              <w:rPr>
                <w:lang w:eastAsia="ja-JP"/>
              </w:rPr>
              <w:t>NOTE :</w:t>
            </w:r>
            <w:r w:rsidRPr="00413815">
              <w:rPr>
                <w:lang w:eastAsia="ja-JP"/>
              </w:rPr>
              <w:tab/>
              <w:t xml:space="preserve">PDCP and SDAP configured by the source RAT prior to the handover that are reconfigured and re-used by target RAT when delta signalling (i.e., during inter-RAT intra-system handover when </w:t>
            </w:r>
            <w:r w:rsidRPr="00413815">
              <w:rPr>
                <w:i/>
                <w:lang w:eastAsia="ja-JP"/>
              </w:rPr>
              <w:t>fullConfig</w:t>
            </w:r>
            <w:r w:rsidRPr="00413815">
              <w:rPr>
                <w:lang w:eastAsia="ja-JP"/>
              </w:rPr>
              <w:t xml:space="preserve"> is not present) is used, are not released as part of this procedure.</w:t>
            </w:r>
          </w:p>
          <w:p w14:paraId="42A0AF45" w14:textId="77777777" w:rsidR="00EE4615" w:rsidRPr="00413815" w:rsidRDefault="00EE4615" w:rsidP="008B08CF">
            <w:pPr>
              <w:ind w:left="568" w:hanging="284"/>
              <w:rPr>
                <w:rFonts w:eastAsia="等线"/>
                <w:lang w:eastAsia="ja-JP"/>
              </w:rPr>
            </w:pPr>
            <w:r w:rsidRPr="00413815">
              <w:rPr>
                <w:rFonts w:eastAsia="等线"/>
                <w:lang w:eastAsia="ja-JP"/>
              </w:rPr>
              <w:t>1&gt;</w:t>
            </w:r>
            <w:r w:rsidRPr="00413815">
              <w:rPr>
                <w:rFonts w:eastAsia="等线"/>
                <w:lang w:eastAsia="ja-JP"/>
              </w:rPr>
              <w:tab/>
              <w:t xml:space="preserve">if the </w:t>
            </w:r>
            <w:r w:rsidRPr="00413815">
              <w:rPr>
                <w:rFonts w:eastAsia="等线"/>
                <w:i/>
                <w:lang w:eastAsia="ja-JP"/>
              </w:rPr>
              <w:t>targetRAT-Type</w:t>
            </w:r>
            <w:r w:rsidRPr="00413815">
              <w:rPr>
                <w:rFonts w:eastAsia="等线"/>
                <w:lang w:eastAsia="ja-JP"/>
              </w:rPr>
              <w:t xml:space="preserve"> is set to </w:t>
            </w:r>
            <w:r w:rsidRPr="00413815">
              <w:rPr>
                <w:rFonts w:eastAsia="等线"/>
                <w:i/>
                <w:lang w:eastAsia="ja-JP"/>
              </w:rPr>
              <w:t>eutra</w:t>
            </w:r>
            <w:r w:rsidRPr="00413815">
              <w:rPr>
                <w:rFonts w:eastAsia="等线"/>
                <w:lang w:eastAsia="ja-JP"/>
              </w:rPr>
              <w:t xml:space="preserve"> and the </w:t>
            </w:r>
            <w:r w:rsidRPr="00413815">
              <w:rPr>
                <w:rFonts w:eastAsia="等线"/>
                <w:i/>
                <w:lang w:eastAsia="ja-JP"/>
              </w:rPr>
              <w:t>nas-SecurityParamFromNR</w:t>
            </w:r>
            <w:r w:rsidRPr="00413815">
              <w:rPr>
                <w:lang w:eastAsia="ja-JP"/>
              </w:rPr>
              <w:t xml:space="preserve"> is included</w:t>
            </w:r>
            <w:r w:rsidRPr="00413815">
              <w:rPr>
                <w:rFonts w:eastAsia="等线"/>
                <w:lang w:eastAsia="ja-JP"/>
              </w:rPr>
              <w:t>: or</w:t>
            </w:r>
          </w:p>
          <w:p w14:paraId="2970C1F6" w14:textId="77777777" w:rsidR="00EE4615" w:rsidRPr="00413815" w:rsidRDefault="00EE4615" w:rsidP="008B08CF">
            <w:pPr>
              <w:ind w:left="568" w:hanging="284"/>
              <w:rPr>
                <w:lang w:eastAsia="ja-JP"/>
              </w:rPr>
            </w:pPr>
            <w:r w:rsidRPr="00413815">
              <w:rPr>
                <w:rFonts w:eastAsia="等线"/>
                <w:lang w:eastAsia="ja-JP"/>
              </w:rPr>
              <w:t>1&gt;</w:t>
            </w:r>
            <w:r w:rsidRPr="00413815">
              <w:rPr>
                <w:rFonts w:eastAsia="等线"/>
                <w:lang w:eastAsia="ja-JP"/>
              </w:rPr>
              <w:tab/>
              <w:t xml:space="preserve">if the </w:t>
            </w:r>
            <w:r w:rsidRPr="00413815">
              <w:rPr>
                <w:rFonts w:eastAsia="等线"/>
                <w:i/>
                <w:lang w:eastAsia="ja-JP"/>
              </w:rPr>
              <w:t>targetRAT-Type</w:t>
            </w:r>
            <w:r w:rsidRPr="00413815">
              <w:rPr>
                <w:rFonts w:eastAsia="等线"/>
                <w:lang w:eastAsia="ja-JP"/>
              </w:rPr>
              <w:t xml:space="preserve"> is set to </w:t>
            </w:r>
            <w:r w:rsidRPr="00413815">
              <w:rPr>
                <w:rFonts w:eastAsia="等线"/>
                <w:i/>
                <w:lang w:eastAsia="ja-JP"/>
              </w:rPr>
              <w:t>utra-fdd</w:t>
            </w:r>
            <w:r w:rsidRPr="00413815">
              <w:rPr>
                <w:rFonts w:eastAsia="等线"/>
                <w:lang w:eastAsia="ja-JP"/>
              </w:rPr>
              <w:t>:</w:t>
            </w:r>
          </w:p>
          <w:p w14:paraId="65CDB050" w14:textId="77777777" w:rsidR="00EE4615" w:rsidRPr="00413815" w:rsidRDefault="00EE4615" w:rsidP="008B08CF">
            <w:pPr>
              <w:ind w:left="851" w:hanging="284"/>
              <w:rPr>
                <w:rFonts w:eastAsia="Yu Mincho"/>
                <w:lang w:eastAsia="ja-JP"/>
              </w:rPr>
            </w:pPr>
            <w:r w:rsidRPr="00413815">
              <w:rPr>
                <w:lang w:eastAsia="ja-JP"/>
              </w:rPr>
              <w:t>2&gt;</w:t>
            </w:r>
            <w:r w:rsidRPr="00413815">
              <w:rPr>
                <w:lang w:eastAsia="ja-JP"/>
              </w:rPr>
              <w:tab/>
              <w:t>indicate the release of the RRC connection to upper layers together with the release cause 'other'.</w:t>
            </w:r>
          </w:p>
        </w:tc>
      </w:tr>
      <w:bookmarkEnd w:id="2"/>
    </w:tbl>
    <w:p w14:paraId="40E629DC" w14:textId="77777777" w:rsidR="00EE4615" w:rsidRDefault="00EE4615" w:rsidP="00EE4615"/>
    <w:p w14:paraId="58E0B782" w14:textId="01D48AD0" w:rsidR="00EE4615" w:rsidRDefault="00F31883" w:rsidP="00FE4533">
      <w:pPr>
        <w:pStyle w:val="B1"/>
        <w:spacing w:afterLines="50" w:after="120"/>
        <w:ind w:left="0" w:firstLine="0"/>
        <w:rPr>
          <w:rFonts w:asciiTheme="majorHAnsi" w:eastAsiaTheme="minorEastAsia" w:hAnsiTheme="majorHAnsi" w:cs="Arial"/>
          <w:shd w:val="clear" w:color="auto" w:fill="FFFFFF"/>
          <w:lang w:eastAsia="zh-CN"/>
        </w:rPr>
      </w:pPr>
      <w:bookmarkStart w:id="3" w:name="_Hlk146642618"/>
      <w:r>
        <w:rPr>
          <w:rFonts w:asciiTheme="majorHAnsi" w:eastAsiaTheme="minorEastAsia" w:hAnsiTheme="majorHAnsi" w:cs="Arial"/>
          <w:shd w:val="clear" w:color="auto" w:fill="FFFFFF"/>
          <w:lang w:eastAsia="zh-CN"/>
        </w:rPr>
        <w:lastRenderedPageBreak/>
        <w:t>For</w:t>
      </w:r>
      <w:r w:rsidR="00FE4533">
        <w:rPr>
          <w:rFonts w:asciiTheme="majorHAnsi" w:eastAsiaTheme="minorEastAsia" w:hAnsiTheme="majorHAnsi" w:cs="Arial"/>
          <w:shd w:val="clear" w:color="auto" w:fill="FFFFFF"/>
          <w:lang w:eastAsia="zh-CN"/>
        </w:rPr>
        <w:t xml:space="preserve"> handover from gNB to </w:t>
      </w:r>
      <w:r>
        <w:rPr>
          <w:rFonts w:asciiTheme="majorHAnsi" w:eastAsiaTheme="minorEastAsia" w:hAnsiTheme="majorHAnsi" w:cs="Arial"/>
          <w:shd w:val="clear" w:color="auto" w:fill="FFFFFF"/>
          <w:lang w:eastAsia="zh-CN"/>
        </w:rPr>
        <w:t xml:space="preserve">ng-eNB, only one QoE measurement </w:t>
      </w:r>
      <w:r w:rsidR="005D4A0C">
        <w:rPr>
          <w:rFonts w:asciiTheme="majorHAnsi" w:eastAsiaTheme="minorEastAsia" w:hAnsiTheme="majorHAnsi" w:cs="Arial"/>
          <w:shd w:val="clear" w:color="auto" w:fill="FFFFFF"/>
          <w:lang w:eastAsia="zh-CN"/>
        </w:rPr>
        <w:t xml:space="preserve">configuration </w:t>
      </w:r>
      <w:r>
        <w:rPr>
          <w:rFonts w:asciiTheme="majorHAnsi" w:eastAsiaTheme="minorEastAsia" w:hAnsiTheme="majorHAnsi" w:cs="Arial"/>
          <w:shd w:val="clear" w:color="auto" w:fill="FFFFFF"/>
          <w:lang w:eastAsia="zh-CN"/>
        </w:rPr>
        <w:t xml:space="preserve">can be </w:t>
      </w:r>
      <w:proofErr w:type="gramStart"/>
      <w:r>
        <w:rPr>
          <w:rFonts w:asciiTheme="majorHAnsi" w:eastAsiaTheme="minorEastAsia" w:hAnsiTheme="majorHAnsi" w:cs="Arial"/>
          <w:shd w:val="clear" w:color="auto" w:fill="FFFFFF"/>
          <w:lang w:eastAsia="zh-CN"/>
        </w:rPr>
        <w:t>kept</w:t>
      </w:r>
      <w:proofErr w:type="gramEnd"/>
      <w:r w:rsidR="0016536F">
        <w:rPr>
          <w:rFonts w:asciiTheme="majorHAnsi" w:eastAsiaTheme="minorEastAsia" w:hAnsiTheme="majorHAnsi" w:cs="Arial"/>
          <w:shd w:val="clear" w:color="auto" w:fill="FFFFFF"/>
          <w:lang w:eastAsia="zh-CN"/>
        </w:rPr>
        <w:t xml:space="preserve"> and other QoE measurement </w:t>
      </w:r>
      <w:r w:rsidR="005D4A0C">
        <w:rPr>
          <w:rFonts w:asciiTheme="majorHAnsi" w:eastAsiaTheme="minorEastAsia" w:hAnsiTheme="majorHAnsi" w:cs="Arial"/>
          <w:shd w:val="clear" w:color="auto" w:fill="FFFFFF"/>
          <w:lang w:eastAsia="zh-CN"/>
        </w:rPr>
        <w:t xml:space="preserve">configurations (if any) </w:t>
      </w:r>
      <w:r w:rsidR="0016536F">
        <w:rPr>
          <w:rFonts w:asciiTheme="majorHAnsi" w:eastAsiaTheme="minorEastAsia" w:hAnsiTheme="majorHAnsi" w:cs="Arial"/>
          <w:shd w:val="clear" w:color="auto" w:fill="FFFFFF"/>
          <w:lang w:eastAsia="zh-CN"/>
        </w:rPr>
        <w:t>should be released</w:t>
      </w:r>
      <w:r>
        <w:rPr>
          <w:rFonts w:asciiTheme="majorHAnsi" w:eastAsiaTheme="minorEastAsia" w:hAnsiTheme="majorHAnsi" w:cs="Arial"/>
          <w:shd w:val="clear" w:color="auto" w:fill="FFFFFF"/>
          <w:lang w:eastAsia="zh-CN"/>
        </w:rPr>
        <w:t>. However, a</w:t>
      </w:r>
      <w:r w:rsidR="00EE4615" w:rsidRPr="00FE4533">
        <w:rPr>
          <w:rFonts w:asciiTheme="majorHAnsi" w:eastAsiaTheme="minorEastAsia" w:hAnsiTheme="majorHAnsi" w:cs="Arial"/>
          <w:shd w:val="clear" w:color="auto" w:fill="FFFFFF"/>
          <w:lang w:eastAsia="zh-CN"/>
        </w:rPr>
        <w:t>ccording to current TS 38.331</w:t>
      </w:r>
      <w:r w:rsidR="00C62FE4">
        <w:rPr>
          <w:rFonts w:asciiTheme="majorHAnsi" w:eastAsiaTheme="minorEastAsia" w:hAnsiTheme="majorHAnsi" w:cs="Arial"/>
          <w:shd w:val="clear" w:color="auto" w:fill="FFFFFF"/>
          <w:lang w:eastAsia="zh-CN"/>
        </w:rPr>
        <w:t>, subclause 5.4.3.4</w:t>
      </w:r>
      <w:r w:rsidR="00EE4615" w:rsidRPr="00FE4533">
        <w:rPr>
          <w:rFonts w:asciiTheme="majorHAnsi" w:eastAsiaTheme="minorEastAsia" w:hAnsiTheme="majorHAnsi" w:cs="Arial"/>
          <w:shd w:val="clear" w:color="auto" w:fill="FFFFFF"/>
          <w:lang w:eastAsia="zh-CN"/>
        </w:rPr>
        <w:t xml:space="preserve">, the </w:t>
      </w:r>
      <w:r w:rsidR="00D2674E">
        <w:rPr>
          <w:rFonts w:asciiTheme="majorHAnsi" w:eastAsiaTheme="minorEastAsia" w:hAnsiTheme="majorHAnsi" w:cs="Arial"/>
          <w:shd w:val="clear" w:color="auto" w:fill="FFFFFF"/>
          <w:lang w:eastAsia="zh-CN"/>
        </w:rPr>
        <w:t xml:space="preserve">other </w:t>
      </w:r>
      <w:r w:rsidR="00EE4615" w:rsidRPr="00FE4533">
        <w:rPr>
          <w:rFonts w:asciiTheme="majorHAnsi" w:eastAsiaTheme="minorEastAsia" w:hAnsiTheme="majorHAnsi" w:cs="Arial"/>
          <w:shd w:val="clear" w:color="auto" w:fill="FFFFFF"/>
          <w:lang w:eastAsia="zh-CN"/>
        </w:rPr>
        <w:t xml:space="preserve">QoE measurement </w:t>
      </w:r>
      <w:r w:rsidR="00C62FE4">
        <w:rPr>
          <w:rFonts w:asciiTheme="majorHAnsi" w:eastAsiaTheme="minorEastAsia" w:hAnsiTheme="majorHAnsi" w:cs="Arial"/>
          <w:shd w:val="clear" w:color="auto" w:fill="FFFFFF"/>
          <w:lang w:eastAsia="zh-CN"/>
        </w:rPr>
        <w:t xml:space="preserve">configurations </w:t>
      </w:r>
      <w:r w:rsidR="00EE4615" w:rsidRPr="00FE4533">
        <w:rPr>
          <w:rFonts w:asciiTheme="majorHAnsi" w:eastAsiaTheme="minorEastAsia" w:hAnsiTheme="majorHAnsi" w:cs="Arial"/>
          <w:shd w:val="clear" w:color="auto" w:fill="FFFFFF"/>
          <w:lang w:eastAsia="zh-CN"/>
        </w:rPr>
        <w:t>are not released during handover from gNB to ng-eNB.</w:t>
      </w:r>
      <w:r w:rsidR="00561959" w:rsidRPr="00FE4533">
        <w:rPr>
          <w:rFonts w:asciiTheme="majorHAnsi" w:eastAsiaTheme="minorEastAsia" w:hAnsiTheme="majorHAnsi" w:cs="Arial"/>
          <w:shd w:val="clear" w:color="auto" w:fill="FFFFFF"/>
          <w:lang w:eastAsia="zh-CN"/>
        </w:rPr>
        <w:t xml:space="preserve"> </w:t>
      </w:r>
      <w:r w:rsidR="00FE4533" w:rsidRPr="00FE4533">
        <w:rPr>
          <w:rFonts w:asciiTheme="majorHAnsi" w:eastAsiaTheme="minorEastAsia" w:hAnsiTheme="majorHAnsi" w:cs="Arial"/>
          <w:shd w:val="clear" w:color="auto" w:fill="FFFFFF"/>
          <w:lang w:eastAsia="zh-CN"/>
        </w:rPr>
        <w:t>How UE releases the</w:t>
      </w:r>
      <w:r w:rsidR="00965CEA">
        <w:rPr>
          <w:rFonts w:asciiTheme="majorHAnsi" w:eastAsiaTheme="minorEastAsia" w:hAnsiTheme="majorHAnsi" w:cs="Arial"/>
          <w:shd w:val="clear" w:color="auto" w:fill="FFFFFF"/>
          <w:lang w:eastAsia="zh-CN"/>
        </w:rPr>
        <w:t xml:space="preserve"> other</w:t>
      </w:r>
      <w:r w:rsidR="00FE4533" w:rsidRPr="00FE4533">
        <w:rPr>
          <w:rFonts w:asciiTheme="majorHAnsi" w:eastAsiaTheme="minorEastAsia" w:hAnsiTheme="majorHAnsi" w:cs="Arial"/>
          <w:shd w:val="clear" w:color="auto" w:fill="FFFFFF"/>
          <w:lang w:eastAsia="zh-CN"/>
        </w:rPr>
        <w:t xml:space="preserve"> QoE measurement</w:t>
      </w:r>
      <w:r w:rsidR="000C79F1">
        <w:rPr>
          <w:rFonts w:asciiTheme="majorHAnsi" w:eastAsiaTheme="minorEastAsia" w:hAnsiTheme="majorHAnsi" w:cs="Arial"/>
          <w:shd w:val="clear" w:color="auto" w:fill="FFFFFF"/>
          <w:lang w:eastAsia="zh-CN"/>
        </w:rPr>
        <w:t xml:space="preserve"> configuration</w:t>
      </w:r>
      <w:r w:rsidR="00FE4533" w:rsidRPr="00FE4533">
        <w:rPr>
          <w:rFonts w:asciiTheme="majorHAnsi" w:eastAsiaTheme="minorEastAsia" w:hAnsiTheme="majorHAnsi" w:cs="Arial"/>
          <w:shd w:val="clear" w:color="auto" w:fill="FFFFFF"/>
          <w:lang w:eastAsia="zh-CN"/>
        </w:rPr>
        <w:t>s in source side needs to</w:t>
      </w:r>
      <w:r w:rsidR="0016536F">
        <w:rPr>
          <w:rFonts w:asciiTheme="majorHAnsi" w:eastAsiaTheme="minorEastAsia" w:hAnsiTheme="majorHAnsi" w:cs="Arial"/>
          <w:shd w:val="clear" w:color="auto" w:fill="FFFFFF"/>
          <w:lang w:eastAsia="zh-CN"/>
        </w:rPr>
        <w:t xml:space="preserve"> </w:t>
      </w:r>
      <w:r w:rsidR="000C79F1">
        <w:rPr>
          <w:rFonts w:asciiTheme="majorHAnsi" w:eastAsiaTheme="minorEastAsia" w:hAnsiTheme="majorHAnsi" w:cs="Arial"/>
          <w:shd w:val="clear" w:color="auto" w:fill="FFFFFF"/>
          <w:lang w:eastAsia="zh-CN"/>
        </w:rPr>
        <w:t xml:space="preserve">be </w:t>
      </w:r>
      <w:r w:rsidR="0016536F">
        <w:rPr>
          <w:rFonts w:asciiTheme="majorHAnsi" w:eastAsiaTheme="minorEastAsia" w:hAnsiTheme="majorHAnsi" w:cs="Arial"/>
          <w:shd w:val="clear" w:color="auto" w:fill="FFFFFF"/>
          <w:lang w:eastAsia="zh-CN"/>
        </w:rPr>
        <w:t xml:space="preserve">addressed. One solution is the gNB releases the other </w:t>
      </w:r>
      <w:r w:rsidR="00965CEA" w:rsidRPr="00FE4533">
        <w:rPr>
          <w:rFonts w:asciiTheme="majorHAnsi" w:eastAsiaTheme="minorEastAsia" w:hAnsiTheme="majorHAnsi" w:cs="Arial"/>
          <w:shd w:val="clear" w:color="auto" w:fill="FFFFFF"/>
          <w:lang w:eastAsia="zh-CN"/>
        </w:rPr>
        <w:t>QoE measurement</w:t>
      </w:r>
      <w:r w:rsidR="000C79F1">
        <w:rPr>
          <w:rFonts w:asciiTheme="majorHAnsi" w:eastAsiaTheme="minorEastAsia" w:hAnsiTheme="majorHAnsi" w:cs="Arial"/>
          <w:shd w:val="clear" w:color="auto" w:fill="FFFFFF"/>
          <w:lang w:eastAsia="zh-CN"/>
        </w:rPr>
        <w:t xml:space="preserve"> configuration</w:t>
      </w:r>
      <w:r w:rsidR="00965CEA" w:rsidRPr="00FE4533">
        <w:rPr>
          <w:rFonts w:asciiTheme="majorHAnsi" w:eastAsiaTheme="minorEastAsia" w:hAnsiTheme="majorHAnsi" w:cs="Arial"/>
          <w:shd w:val="clear" w:color="auto" w:fill="FFFFFF"/>
          <w:lang w:eastAsia="zh-CN"/>
        </w:rPr>
        <w:t>s</w:t>
      </w:r>
      <w:r w:rsidR="00965CEA">
        <w:rPr>
          <w:rFonts w:asciiTheme="majorHAnsi" w:eastAsiaTheme="minorEastAsia" w:hAnsiTheme="majorHAnsi" w:cs="Arial"/>
          <w:shd w:val="clear" w:color="auto" w:fill="FFFFFF"/>
          <w:lang w:eastAsia="zh-CN"/>
        </w:rPr>
        <w:t xml:space="preserve"> before handover by RRC Reconfiguration</w:t>
      </w:r>
      <w:r w:rsidR="000C79F1">
        <w:rPr>
          <w:rFonts w:asciiTheme="majorHAnsi" w:eastAsiaTheme="minorEastAsia" w:hAnsiTheme="majorHAnsi" w:cs="Arial"/>
          <w:shd w:val="clear" w:color="auto" w:fill="FFFFFF"/>
          <w:lang w:eastAsia="zh-CN"/>
        </w:rPr>
        <w:t xml:space="preserve"> message</w:t>
      </w:r>
      <w:r w:rsidR="00965CEA">
        <w:rPr>
          <w:rFonts w:asciiTheme="majorHAnsi" w:eastAsiaTheme="minorEastAsia" w:hAnsiTheme="majorHAnsi" w:cs="Arial"/>
          <w:shd w:val="clear" w:color="auto" w:fill="FFFFFF"/>
          <w:lang w:eastAsia="zh-CN"/>
        </w:rPr>
        <w:t xml:space="preserve">. But this solution requires the </w:t>
      </w:r>
      <w:r w:rsidR="00603AC2">
        <w:rPr>
          <w:rFonts w:asciiTheme="majorHAnsi" w:eastAsiaTheme="minorEastAsia" w:hAnsiTheme="majorHAnsi" w:cs="Arial"/>
          <w:shd w:val="clear" w:color="auto" w:fill="FFFFFF"/>
          <w:lang w:eastAsia="zh-CN"/>
        </w:rPr>
        <w:t xml:space="preserve">gNB </w:t>
      </w:r>
      <w:r w:rsidR="000C79F1">
        <w:rPr>
          <w:rFonts w:asciiTheme="majorHAnsi" w:eastAsiaTheme="minorEastAsia" w:hAnsiTheme="majorHAnsi" w:cs="Arial"/>
          <w:shd w:val="clear" w:color="auto" w:fill="FFFFFF"/>
          <w:lang w:eastAsia="zh-CN"/>
        </w:rPr>
        <w:t xml:space="preserve">to </w:t>
      </w:r>
      <w:r w:rsidR="00603AC2">
        <w:rPr>
          <w:rFonts w:asciiTheme="majorHAnsi" w:eastAsiaTheme="minorEastAsia" w:hAnsiTheme="majorHAnsi" w:cs="Arial"/>
          <w:shd w:val="clear" w:color="auto" w:fill="FFFFFF"/>
          <w:lang w:eastAsia="zh-CN"/>
        </w:rPr>
        <w:t xml:space="preserve">perform additional RRC Reconfiguration </w:t>
      </w:r>
      <w:r w:rsidR="001B496B">
        <w:rPr>
          <w:rFonts w:asciiTheme="majorHAnsi" w:eastAsiaTheme="minorEastAsia" w:hAnsiTheme="majorHAnsi" w:cs="Arial"/>
          <w:shd w:val="clear" w:color="auto" w:fill="FFFFFF"/>
          <w:lang w:eastAsia="zh-CN"/>
        </w:rPr>
        <w:t>procedure that cause</w:t>
      </w:r>
      <w:r w:rsidR="00B6732F">
        <w:rPr>
          <w:rFonts w:asciiTheme="majorHAnsi" w:eastAsiaTheme="minorEastAsia" w:hAnsiTheme="majorHAnsi" w:cs="Arial"/>
          <w:shd w:val="clear" w:color="auto" w:fill="FFFFFF"/>
          <w:lang w:eastAsia="zh-CN"/>
        </w:rPr>
        <w:t>s</w:t>
      </w:r>
      <w:r w:rsidR="001B496B">
        <w:rPr>
          <w:rFonts w:asciiTheme="majorHAnsi" w:eastAsiaTheme="minorEastAsia" w:hAnsiTheme="majorHAnsi" w:cs="Arial"/>
          <w:shd w:val="clear" w:color="auto" w:fill="FFFFFF"/>
          <w:lang w:eastAsia="zh-CN"/>
        </w:rPr>
        <w:t xml:space="preserve"> extra delay for handover. </w:t>
      </w:r>
    </w:p>
    <w:p w14:paraId="23764DC2" w14:textId="33ECA73B" w:rsidR="008D4B9A" w:rsidRPr="008D4B9A" w:rsidRDefault="008D4B9A" w:rsidP="00EA09E4">
      <w:pPr>
        <w:spacing w:after="120"/>
        <w:ind w:left="1405" w:hangingChars="700" w:hanging="1405"/>
        <w:rPr>
          <w:rFonts w:ascii="Cambria" w:hAnsi="Cambria"/>
          <w:b/>
          <w:bCs/>
        </w:rPr>
      </w:pPr>
      <w:r w:rsidRPr="008D4B9A">
        <w:rPr>
          <w:rFonts w:ascii="Cambria" w:hAnsi="Cambria"/>
          <w:b/>
          <w:bCs/>
        </w:rPr>
        <w:t>Observation 1: For handover from gNB to ng-eNB the other QoE measurement</w:t>
      </w:r>
      <w:r w:rsidR="000C79F1">
        <w:rPr>
          <w:rFonts w:ascii="Cambria" w:hAnsi="Cambria"/>
          <w:b/>
          <w:bCs/>
        </w:rPr>
        <w:t xml:space="preserve"> configuration</w:t>
      </w:r>
      <w:r w:rsidRPr="008D4B9A">
        <w:rPr>
          <w:rFonts w:ascii="Cambria" w:hAnsi="Cambria"/>
          <w:b/>
          <w:bCs/>
        </w:rPr>
        <w:t xml:space="preserve">s are not released during handover procedure according to existing TS 38.331. </w:t>
      </w:r>
      <w:r w:rsidR="00FD31C4">
        <w:rPr>
          <w:rFonts w:ascii="Cambria" w:hAnsi="Cambria"/>
          <w:b/>
          <w:bCs/>
        </w:rPr>
        <w:t>H</w:t>
      </w:r>
      <w:r w:rsidRPr="008D4B9A">
        <w:rPr>
          <w:rFonts w:ascii="Cambria" w:hAnsi="Cambria"/>
          <w:b/>
          <w:bCs/>
        </w:rPr>
        <w:t>ow UE releases the</w:t>
      </w:r>
      <w:r w:rsidR="000C79F1">
        <w:rPr>
          <w:rFonts w:ascii="Cambria" w:hAnsi="Cambria"/>
          <w:b/>
          <w:bCs/>
        </w:rPr>
        <w:t>se</w:t>
      </w:r>
      <w:r w:rsidRPr="008D4B9A">
        <w:rPr>
          <w:rFonts w:ascii="Cambria" w:hAnsi="Cambria"/>
          <w:b/>
          <w:bCs/>
        </w:rPr>
        <w:t xml:space="preserve"> QoE measurement</w:t>
      </w:r>
      <w:r w:rsidR="000C79F1">
        <w:rPr>
          <w:rFonts w:ascii="Cambria" w:hAnsi="Cambria"/>
          <w:b/>
          <w:bCs/>
        </w:rPr>
        <w:t xml:space="preserve"> configuration</w:t>
      </w:r>
      <w:r w:rsidRPr="008D4B9A">
        <w:rPr>
          <w:rFonts w:ascii="Cambria" w:hAnsi="Cambria"/>
          <w:b/>
          <w:bCs/>
        </w:rPr>
        <w:t xml:space="preserve">s in source side needs to </w:t>
      </w:r>
      <w:r w:rsidR="00FD31C4">
        <w:rPr>
          <w:rFonts w:ascii="Cambria" w:hAnsi="Cambria"/>
          <w:b/>
          <w:bCs/>
        </w:rPr>
        <w:t>be addressed</w:t>
      </w:r>
      <w:r w:rsidRPr="008D4B9A">
        <w:rPr>
          <w:rFonts w:ascii="Cambria" w:hAnsi="Cambria"/>
          <w:b/>
          <w:bCs/>
        </w:rPr>
        <w:t>.</w:t>
      </w:r>
    </w:p>
    <w:p w14:paraId="3F8B3D41" w14:textId="77777777" w:rsidR="008473D9" w:rsidRPr="00FD31C4" w:rsidRDefault="008473D9" w:rsidP="00FE4533">
      <w:pPr>
        <w:pStyle w:val="B1"/>
        <w:spacing w:afterLines="50" w:after="120"/>
        <w:ind w:left="0" w:firstLine="0"/>
        <w:rPr>
          <w:rFonts w:asciiTheme="majorHAnsi" w:eastAsiaTheme="minorEastAsia" w:hAnsiTheme="majorHAnsi" w:cs="Arial"/>
          <w:shd w:val="clear" w:color="auto" w:fill="FFFFFF"/>
          <w:lang w:eastAsia="zh-CN"/>
        </w:rPr>
      </w:pPr>
    </w:p>
    <w:tbl>
      <w:tblPr>
        <w:tblStyle w:val="afc"/>
        <w:tblW w:w="0" w:type="auto"/>
        <w:jc w:val="center"/>
        <w:tblLook w:val="04A0" w:firstRow="1" w:lastRow="0" w:firstColumn="1" w:lastColumn="0" w:noHBand="0" w:noVBand="1"/>
      </w:tblPr>
      <w:tblGrid>
        <w:gridCol w:w="8296"/>
      </w:tblGrid>
      <w:tr w:rsidR="0070734A" w14:paraId="7032A544" w14:textId="77777777" w:rsidTr="0070734A">
        <w:trPr>
          <w:jc w:val="center"/>
        </w:trPr>
        <w:tc>
          <w:tcPr>
            <w:tcW w:w="8296" w:type="dxa"/>
          </w:tcPr>
          <w:p w14:paraId="7F0DD51E" w14:textId="77777777" w:rsidR="0070734A" w:rsidRPr="00EC4AAA" w:rsidRDefault="0070734A" w:rsidP="008B08CF">
            <w:pPr>
              <w:keepNext/>
              <w:keepLines/>
              <w:spacing w:before="120"/>
              <w:outlineLvl w:val="3"/>
              <w:rPr>
                <w:rFonts w:ascii="Arial" w:eastAsia="MS Mincho" w:hAnsi="Arial"/>
                <w:sz w:val="24"/>
                <w:lang w:eastAsia="ja-JP"/>
              </w:rPr>
            </w:pPr>
            <w:bookmarkStart w:id="4" w:name="_Toc139045052"/>
            <w:bookmarkEnd w:id="3"/>
            <w:r w:rsidRPr="00EC4AAA">
              <w:rPr>
                <w:rFonts w:ascii="Arial" w:eastAsia="宋体" w:hAnsi="Arial"/>
                <w:sz w:val="24"/>
              </w:rPr>
              <w:t>5.3.5.13d</w:t>
            </w:r>
            <w:r w:rsidRPr="00EC4AAA">
              <w:rPr>
                <w:rFonts w:ascii="Arial" w:eastAsia="宋体" w:hAnsi="Arial"/>
                <w:sz w:val="24"/>
              </w:rPr>
              <w:tab/>
            </w:r>
            <w:r w:rsidRPr="00EC4AAA">
              <w:rPr>
                <w:rFonts w:ascii="Arial" w:eastAsia="MS Mincho" w:hAnsi="Arial"/>
                <w:sz w:val="24"/>
                <w:lang w:eastAsia="ja-JP"/>
              </w:rPr>
              <w:t>Application layer measurement configuration</w:t>
            </w:r>
            <w:bookmarkEnd w:id="4"/>
          </w:p>
          <w:p w14:paraId="50B5CB0C" w14:textId="77777777" w:rsidR="0070734A" w:rsidRDefault="0070734A" w:rsidP="008B08CF">
            <w:pPr>
              <w:pStyle w:val="B1"/>
            </w:pPr>
          </w:p>
          <w:p w14:paraId="693B5B9B" w14:textId="77777777" w:rsidR="0070734A" w:rsidRPr="00C0503E" w:rsidRDefault="0070734A" w:rsidP="008B08CF">
            <w:pPr>
              <w:pStyle w:val="B1"/>
            </w:pPr>
            <w:r w:rsidRPr="00C0503E">
              <w:t>1&gt;</w:t>
            </w:r>
            <w:r w:rsidRPr="00C0503E">
              <w:tab/>
              <w:t xml:space="preserve">if </w:t>
            </w:r>
            <w:r w:rsidRPr="00C0503E">
              <w:rPr>
                <w:i/>
              </w:rPr>
              <w:t>measConfigAppLayerToAddModList</w:t>
            </w:r>
            <w:r w:rsidRPr="00C0503E">
              <w:t xml:space="preserve"> is included in </w:t>
            </w:r>
            <w:r w:rsidRPr="00C0503E">
              <w:rPr>
                <w:i/>
              </w:rPr>
              <w:t>appLayerMeasConfig</w:t>
            </w:r>
            <w:r w:rsidRPr="00C0503E">
              <w:t xml:space="preserve"> within </w:t>
            </w:r>
            <w:r w:rsidRPr="00C0503E">
              <w:rPr>
                <w:i/>
              </w:rPr>
              <w:t xml:space="preserve">RRCReconfiguration </w:t>
            </w:r>
            <w:r w:rsidRPr="00C0503E">
              <w:t xml:space="preserve">or </w:t>
            </w:r>
            <w:r w:rsidRPr="00C0503E">
              <w:rPr>
                <w:i/>
              </w:rPr>
              <w:t>RRCResume</w:t>
            </w:r>
            <w:r w:rsidRPr="00C0503E">
              <w:t>:</w:t>
            </w:r>
          </w:p>
          <w:p w14:paraId="253637C1" w14:textId="77777777" w:rsidR="0070734A" w:rsidRPr="00C0503E" w:rsidRDefault="0070734A" w:rsidP="008B08CF">
            <w:pPr>
              <w:pStyle w:val="B2"/>
            </w:pPr>
            <w:r w:rsidRPr="00C0503E">
              <w:t>2&gt;</w:t>
            </w:r>
            <w:r w:rsidRPr="00C0503E">
              <w:tab/>
              <w:t xml:space="preserve">for each </w:t>
            </w:r>
            <w:r w:rsidRPr="00C0503E">
              <w:rPr>
                <w:i/>
              </w:rPr>
              <w:t>measConfigAppLayerId</w:t>
            </w:r>
            <w:r w:rsidRPr="00C0503E">
              <w:t xml:space="preserve"> value included in the </w:t>
            </w:r>
            <w:r w:rsidRPr="00C0503E">
              <w:rPr>
                <w:i/>
              </w:rPr>
              <w:t>measConfigAppLayerToAddModList</w:t>
            </w:r>
            <w:r w:rsidRPr="00C0503E">
              <w:t>:</w:t>
            </w:r>
          </w:p>
          <w:p w14:paraId="2C05B6EA" w14:textId="77777777" w:rsidR="0070734A" w:rsidRPr="00C0503E" w:rsidRDefault="0070734A" w:rsidP="008B08CF">
            <w:pPr>
              <w:pStyle w:val="B3"/>
            </w:pPr>
            <w:r w:rsidRPr="00C0503E">
              <w:t>3&gt;</w:t>
            </w:r>
            <w:r w:rsidRPr="00C0503E">
              <w:tab/>
              <w:t xml:space="preserve">if </w:t>
            </w:r>
            <w:r w:rsidRPr="00C0503E">
              <w:rPr>
                <w:i/>
              </w:rPr>
              <w:t>measConfigAppLayerContainer</w:t>
            </w:r>
            <w:r w:rsidRPr="00C0503E">
              <w:t xml:space="preserve"> is included for the corresponding </w:t>
            </w:r>
            <w:r w:rsidRPr="00C0503E">
              <w:rPr>
                <w:i/>
              </w:rPr>
              <w:t>MeasConfigAppLayer</w:t>
            </w:r>
            <w:r w:rsidRPr="00C0503E">
              <w:t xml:space="preserve"> configuration:</w:t>
            </w:r>
          </w:p>
          <w:p w14:paraId="7246F3A4" w14:textId="77777777" w:rsidR="0070734A" w:rsidRPr="00C0503E" w:rsidRDefault="0070734A" w:rsidP="008B08CF">
            <w:pPr>
              <w:pStyle w:val="B4"/>
            </w:pPr>
            <w:r w:rsidRPr="00C0503E">
              <w:t>4&gt;</w:t>
            </w:r>
            <w:r w:rsidRPr="00C0503E">
              <w:tab/>
              <w:t xml:space="preserve">forward the </w:t>
            </w:r>
            <w:r w:rsidRPr="00075CA6">
              <w:rPr>
                <w:i/>
                <w:highlight w:val="yellow"/>
              </w:rPr>
              <w:t>measConfigAppLayerContainer</w:t>
            </w:r>
            <w:r w:rsidRPr="00C0503E">
              <w:t xml:space="preserve">, the </w:t>
            </w:r>
            <w:r w:rsidRPr="00C0503E">
              <w:rPr>
                <w:i/>
              </w:rPr>
              <w:t>measConfigAppLayerId</w:t>
            </w:r>
            <w:r w:rsidRPr="00C0503E">
              <w:t xml:space="preserve"> and the </w:t>
            </w:r>
            <w:r w:rsidRPr="00C0503E">
              <w:rPr>
                <w:i/>
              </w:rPr>
              <w:t xml:space="preserve">serviceType </w:t>
            </w:r>
            <w:r w:rsidRPr="00C0503E">
              <w:t xml:space="preserve">to upper layers considering the </w:t>
            </w:r>
            <w:r w:rsidRPr="00C0503E">
              <w:rPr>
                <w:i/>
              </w:rPr>
              <w:t>serviceType</w:t>
            </w:r>
            <w:r w:rsidRPr="00C0503E">
              <w:t>;</w:t>
            </w:r>
          </w:p>
          <w:p w14:paraId="26FDC31B" w14:textId="77777777" w:rsidR="0070734A" w:rsidRDefault="0070734A" w:rsidP="008B08CF">
            <w:pPr>
              <w:pStyle w:val="B3"/>
            </w:pPr>
            <w:r w:rsidRPr="00C0503E">
              <w:t>3&gt;</w:t>
            </w:r>
            <w:r w:rsidRPr="00C0503E">
              <w:tab/>
              <w:t xml:space="preserve">consider itself to be configured to send application layer measurement report for the </w:t>
            </w:r>
            <w:r w:rsidRPr="00C0503E">
              <w:rPr>
                <w:i/>
              </w:rPr>
              <w:t>measConfigAppLayerId</w:t>
            </w:r>
            <w:r w:rsidRPr="00C0503E">
              <w:t xml:space="preserve"> in accordance with 5.7.16;</w:t>
            </w:r>
          </w:p>
        </w:tc>
      </w:tr>
    </w:tbl>
    <w:p w14:paraId="2273D654" w14:textId="77777777" w:rsidR="00F23471" w:rsidRDefault="00F23471" w:rsidP="00F23471"/>
    <w:p w14:paraId="01AB0103" w14:textId="3570DB7F" w:rsidR="006B586B" w:rsidRDefault="00F23471" w:rsidP="00F23471">
      <w:pPr>
        <w:rPr>
          <w:rFonts w:ascii="Cambria" w:hAnsi="Cambria"/>
        </w:rPr>
      </w:pPr>
      <w:r w:rsidRPr="00F23471">
        <w:rPr>
          <w:rFonts w:ascii="Cambria" w:hAnsi="Cambria"/>
        </w:rPr>
        <w:t>According to TS 38.331</w:t>
      </w:r>
      <w:r w:rsidR="000C79F1">
        <w:rPr>
          <w:rFonts w:ascii="Cambria" w:hAnsi="Cambria"/>
        </w:rPr>
        <w:t>, subclause 5.3.5.13d</w:t>
      </w:r>
      <w:r w:rsidRPr="00F23471">
        <w:rPr>
          <w:rFonts w:ascii="Cambria" w:hAnsi="Cambria"/>
        </w:rPr>
        <w:t xml:space="preserve">, </w:t>
      </w:r>
      <w:r w:rsidR="002546F7">
        <w:rPr>
          <w:rFonts w:ascii="Cambria" w:hAnsi="Cambria"/>
        </w:rPr>
        <w:t>whenever the UE receives a new QoE measurement configuration</w:t>
      </w:r>
      <w:r w:rsidR="002546F7" w:rsidRPr="002546F7">
        <w:rPr>
          <w:rFonts w:ascii="Cambria" w:hAnsi="Cambria"/>
        </w:rPr>
        <w:t xml:space="preserve"> from the serving gNB</w:t>
      </w:r>
      <w:r w:rsidR="002546F7">
        <w:rPr>
          <w:rFonts w:ascii="Cambria" w:hAnsi="Cambria"/>
        </w:rPr>
        <w:t xml:space="preserve">, the UE will forward the received </w:t>
      </w:r>
      <w:r w:rsidR="002546F7" w:rsidRPr="002546F7">
        <w:rPr>
          <w:rFonts w:ascii="Cambria" w:hAnsi="Cambria"/>
          <w:i/>
          <w:iCs/>
        </w:rPr>
        <w:t>measConfigAppLayerContainer</w:t>
      </w:r>
      <w:r w:rsidR="002546F7">
        <w:rPr>
          <w:rFonts w:ascii="Cambria" w:hAnsi="Cambria"/>
        </w:rPr>
        <w:t xml:space="preserve"> </w:t>
      </w:r>
      <w:r w:rsidR="002546F7" w:rsidRPr="002546F7">
        <w:rPr>
          <w:rFonts w:ascii="Cambria" w:hAnsi="Cambria"/>
        </w:rPr>
        <w:t>to the upper layers</w:t>
      </w:r>
      <w:r w:rsidR="002546F7">
        <w:rPr>
          <w:rFonts w:ascii="Cambria" w:hAnsi="Cambria"/>
        </w:rPr>
        <w:t>.</w:t>
      </w:r>
      <w:r w:rsidR="00B030F6">
        <w:rPr>
          <w:rFonts w:ascii="Cambria" w:hAnsi="Cambria"/>
        </w:rPr>
        <w:t xml:space="preserve"> Al</w:t>
      </w:r>
      <w:r w:rsidR="00767243">
        <w:rPr>
          <w:rFonts w:ascii="Cambria" w:hAnsi="Cambria"/>
        </w:rPr>
        <w:t>th</w:t>
      </w:r>
      <w:r w:rsidR="00B030F6">
        <w:rPr>
          <w:rFonts w:ascii="Cambria" w:hAnsi="Cambria"/>
        </w:rPr>
        <w:t>ough the subclause 5.3.5.13d is fo</w:t>
      </w:r>
      <w:r w:rsidR="0066352F">
        <w:rPr>
          <w:rFonts w:ascii="Cambria" w:hAnsi="Cambria"/>
        </w:rPr>
        <w:t>r QoE measurement configuration within NR, the target gNB needs to provide the same configuration in h</w:t>
      </w:r>
      <w:r w:rsidR="00767243">
        <w:rPr>
          <w:rFonts w:ascii="Cambria" w:hAnsi="Cambria"/>
        </w:rPr>
        <w:t>andover command during handover from ng-eNB to gNB according to the discussion in previous RAN3 meeting.</w:t>
      </w:r>
    </w:p>
    <w:p w14:paraId="270130E2" w14:textId="370358F5" w:rsidR="00F23471" w:rsidRPr="00F23471" w:rsidRDefault="006B586B" w:rsidP="00F23471">
      <w:pPr>
        <w:rPr>
          <w:rFonts w:ascii="Cambria" w:hAnsi="Cambria"/>
        </w:rPr>
      </w:pPr>
      <w:r w:rsidRPr="006B586B">
        <w:rPr>
          <w:rFonts w:ascii="Cambria" w:hAnsi="Cambria"/>
        </w:rPr>
        <w:t>For handover from ng-eNB to gNB</w:t>
      </w:r>
      <w:r>
        <w:rPr>
          <w:rFonts w:ascii="Cambria" w:hAnsi="Cambria"/>
        </w:rPr>
        <w:t>,</w:t>
      </w:r>
      <w:r w:rsidRPr="006B586B">
        <w:rPr>
          <w:rFonts w:ascii="Cambria" w:hAnsi="Cambria"/>
        </w:rPr>
        <w:t xml:space="preserve"> </w:t>
      </w:r>
      <w:r w:rsidR="00F23471" w:rsidRPr="00F23471">
        <w:rPr>
          <w:rFonts w:ascii="Cambria" w:hAnsi="Cambria"/>
        </w:rPr>
        <w:t xml:space="preserve">the target gNB needs to provide </w:t>
      </w:r>
      <w:r w:rsidR="00287B5E" w:rsidRPr="00287B5E">
        <w:rPr>
          <w:rFonts w:ascii="Cambria" w:hAnsi="Cambria"/>
        </w:rPr>
        <w:t xml:space="preserve">for the QoE measurement configuration to continue </w:t>
      </w:r>
      <w:r w:rsidR="00F23471" w:rsidRPr="00F23471">
        <w:rPr>
          <w:rFonts w:ascii="Cambria" w:hAnsi="Cambria"/>
        </w:rPr>
        <w:t xml:space="preserve">the </w:t>
      </w:r>
      <w:r w:rsidR="00F23471" w:rsidRPr="00F23471">
        <w:rPr>
          <w:rFonts w:ascii="Cambria" w:hAnsi="Cambria"/>
          <w:i/>
        </w:rPr>
        <w:t xml:space="preserve">measConfigAppLayerContainer </w:t>
      </w:r>
      <w:r w:rsidR="00F23471" w:rsidRPr="007D58D6">
        <w:rPr>
          <w:rFonts w:ascii="Cambria" w:hAnsi="Cambria"/>
          <w:iCs/>
        </w:rPr>
        <w:t>in the handover command to UE</w:t>
      </w:r>
      <w:r w:rsidR="00F23471" w:rsidRPr="00F23471">
        <w:rPr>
          <w:rFonts w:ascii="Cambria" w:hAnsi="Cambria"/>
          <w:i/>
        </w:rPr>
        <w:t xml:space="preserve">. </w:t>
      </w:r>
      <w:r w:rsidR="00F23471" w:rsidRPr="00F23471">
        <w:rPr>
          <w:rFonts w:ascii="Cambria" w:hAnsi="Cambria"/>
          <w:iCs/>
        </w:rPr>
        <w:t xml:space="preserve">And the UE shall forward the </w:t>
      </w:r>
      <w:r w:rsidR="00287B5E">
        <w:rPr>
          <w:rFonts w:ascii="Cambria" w:hAnsi="Cambria"/>
          <w:iCs/>
        </w:rPr>
        <w:t xml:space="preserve">received </w:t>
      </w:r>
      <w:r w:rsidR="00F23471" w:rsidRPr="00F23471">
        <w:rPr>
          <w:rFonts w:ascii="Cambria" w:hAnsi="Cambria"/>
          <w:i/>
        </w:rPr>
        <w:t>measConfigAppLayerContainer</w:t>
      </w:r>
      <w:r w:rsidR="00F23471" w:rsidRPr="00F23471">
        <w:rPr>
          <w:rFonts w:ascii="Cambria" w:hAnsi="Cambria"/>
          <w:iCs/>
        </w:rPr>
        <w:t xml:space="preserve"> to the upper layers. If the container received</w:t>
      </w:r>
      <w:r w:rsidR="00287B5E">
        <w:rPr>
          <w:rFonts w:ascii="Cambria" w:hAnsi="Cambria"/>
          <w:iCs/>
        </w:rPr>
        <w:t xml:space="preserve"> previously</w:t>
      </w:r>
      <w:r w:rsidR="00F23471" w:rsidRPr="00F23471">
        <w:rPr>
          <w:rFonts w:ascii="Cambria" w:hAnsi="Cambria"/>
          <w:iCs/>
        </w:rPr>
        <w:t xml:space="preserve"> from source side is not released, the UE application layer will receive a duplicated application </w:t>
      </w:r>
      <w:r w:rsidR="000C79F1">
        <w:rPr>
          <w:rFonts w:ascii="Cambria" w:hAnsi="Cambria"/>
          <w:iCs/>
        </w:rPr>
        <w:t xml:space="preserve">layer </w:t>
      </w:r>
      <w:r w:rsidR="00F23471" w:rsidRPr="00F23471">
        <w:rPr>
          <w:rFonts w:ascii="Cambria" w:hAnsi="Cambria"/>
          <w:iCs/>
        </w:rPr>
        <w:t xml:space="preserve">container. </w:t>
      </w:r>
      <w:r w:rsidR="00F23471" w:rsidRPr="00F23471">
        <w:rPr>
          <w:rFonts w:ascii="Cambria" w:hAnsi="Cambria"/>
          <w:i/>
        </w:rPr>
        <w:t xml:space="preserve"> </w:t>
      </w:r>
      <w:r w:rsidR="00F23471" w:rsidRPr="00F23471">
        <w:rPr>
          <w:rFonts w:ascii="Cambria" w:hAnsi="Cambria"/>
        </w:rPr>
        <w:t xml:space="preserve">The consequence is that the UE application layer’s behaviour is unclear whether the first received application </w:t>
      </w:r>
      <w:r w:rsidR="000C79F1">
        <w:rPr>
          <w:rFonts w:ascii="Cambria" w:hAnsi="Cambria"/>
        </w:rPr>
        <w:t xml:space="preserve">layer </w:t>
      </w:r>
      <w:r w:rsidR="00F23471" w:rsidRPr="00F23471">
        <w:rPr>
          <w:rFonts w:ascii="Cambria" w:hAnsi="Cambria"/>
        </w:rPr>
        <w:t xml:space="preserve">measurement configuration is replaced by the followed received application </w:t>
      </w:r>
      <w:r w:rsidR="000C79F1">
        <w:rPr>
          <w:rFonts w:ascii="Cambria" w:hAnsi="Cambria"/>
        </w:rPr>
        <w:t xml:space="preserve">layer </w:t>
      </w:r>
      <w:r w:rsidR="00F23471" w:rsidRPr="00F23471">
        <w:rPr>
          <w:rFonts w:ascii="Cambria" w:hAnsi="Cambria"/>
        </w:rPr>
        <w:t>measurement configuration or not.</w:t>
      </w:r>
    </w:p>
    <w:p w14:paraId="46BE3F1C" w14:textId="56B9F43E" w:rsidR="00940F54" w:rsidRPr="00940F54" w:rsidRDefault="00940F54" w:rsidP="00940F54">
      <w:pPr>
        <w:spacing w:after="120"/>
        <w:ind w:left="1405" w:hangingChars="700" w:hanging="1405"/>
        <w:rPr>
          <w:rFonts w:ascii="Cambria" w:hAnsi="Cambria"/>
          <w:b/>
          <w:bCs/>
        </w:rPr>
      </w:pPr>
      <w:r w:rsidRPr="00940F54">
        <w:rPr>
          <w:rFonts w:ascii="Cambria" w:hAnsi="Cambria"/>
          <w:b/>
          <w:bCs/>
        </w:rPr>
        <w:t>Observation 2: For handover from ng-</w:t>
      </w:r>
      <w:r w:rsidRPr="00940F54">
        <w:rPr>
          <w:rFonts w:ascii="Cambria" w:hAnsi="Cambria" w:hint="eastAsia"/>
          <w:b/>
          <w:bCs/>
        </w:rPr>
        <w:t>e</w:t>
      </w:r>
      <w:r w:rsidRPr="00940F54">
        <w:rPr>
          <w:rFonts w:ascii="Cambria" w:hAnsi="Cambria"/>
          <w:b/>
          <w:bCs/>
        </w:rPr>
        <w:t xml:space="preserve">NB to gNB, the UE application layer may receive </w:t>
      </w:r>
      <w:r w:rsidR="006E2C09">
        <w:rPr>
          <w:rFonts w:ascii="Cambria" w:hAnsi="Cambria"/>
          <w:b/>
          <w:bCs/>
        </w:rPr>
        <w:t>a duplicated</w:t>
      </w:r>
      <w:r w:rsidRPr="00940F54">
        <w:rPr>
          <w:rFonts w:ascii="Cambria" w:hAnsi="Cambria"/>
          <w:b/>
          <w:bCs/>
        </w:rPr>
        <w:t xml:space="preserve"> </w:t>
      </w:r>
      <w:r w:rsidRPr="00940F54">
        <w:rPr>
          <w:rFonts w:ascii="Cambria" w:hAnsi="Cambria"/>
          <w:b/>
          <w:bCs/>
          <w:i/>
          <w:iCs/>
        </w:rPr>
        <w:t>measConfigAppLayerContainer</w:t>
      </w:r>
      <w:r w:rsidRPr="00940F54">
        <w:rPr>
          <w:rFonts w:ascii="Cambria" w:hAnsi="Cambria"/>
          <w:b/>
          <w:bCs/>
        </w:rPr>
        <w:t xml:space="preserve">. How UE application layer handles the duplicated container for Application Layer Measurement Configuration needs to </w:t>
      </w:r>
      <w:r w:rsidR="00E2782A">
        <w:rPr>
          <w:rFonts w:ascii="Cambria" w:hAnsi="Cambria"/>
          <w:b/>
          <w:bCs/>
        </w:rPr>
        <w:t xml:space="preserve">be </w:t>
      </w:r>
      <w:r w:rsidRPr="00940F54">
        <w:rPr>
          <w:rFonts w:ascii="Cambria" w:hAnsi="Cambria"/>
          <w:b/>
          <w:bCs/>
        </w:rPr>
        <w:t>check</w:t>
      </w:r>
      <w:r w:rsidR="00E2782A">
        <w:rPr>
          <w:rFonts w:ascii="Cambria" w:hAnsi="Cambria"/>
          <w:b/>
          <w:bCs/>
        </w:rPr>
        <w:t>ed</w:t>
      </w:r>
      <w:r w:rsidRPr="00940F54">
        <w:rPr>
          <w:rFonts w:ascii="Cambria" w:hAnsi="Cambria"/>
          <w:b/>
          <w:bCs/>
        </w:rPr>
        <w:t xml:space="preserve"> with SA4.</w:t>
      </w:r>
    </w:p>
    <w:p w14:paraId="13CCCDE2" w14:textId="0D162B20" w:rsidR="00EE4615" w:rsidRPr="00D3632D" w:rsidRDefault="00CA2112" w:rsidP="00D3632D">
      <w:pPr>
        <w:rPr>
          <w:rFonts w:ascii="Cambria" w:hAnsi="Cambria"/>
          <w:iCs/>
        </w:rPr>
      </w:pPr>
      <w:r>
        <w:rPr>
          <w:rFonts w:ascii="Cambria" w:hAnsi="Cambria"/>
          <w:iCs/>
        </w:rPr>
        <w:t>Since RAN3 is the leading group of the WI, it is RAN3’s responsibility to ensure the end to end solution works well for QoE measurements during IRAT handover. We think a</w:t>
      </w:r>
      <w:r w:rsidR="000C79F1">
        <w:rPr>
          <w:rFonts w:ascii="Cambria" w:hAnsi="Cambria"/>
          <w:iCs/>
        </w:rPr>
        <w:t>n</w:t>
      </w:r>
      <w:r>
        <w:rPr>
          <w:rFonts w:ascii="Cambria" w:hAnsi="Cambria"/>
          <w:iCs/>
        </w:rPr>
        <w:t xml:space="preserve"> LS to RAN2 and CT4 to check their views on the issues in observation 1&amp;2 are needed. </w:t>
      </w:r>
    </w:p>
    <w:p w14:paraId="55791E80" w14:textId="35B0D0B9" w:rsidR="00D63DE9" w:rsidRPr="00D81208" w:rsidRDefault="00D63DE9" w:rsidP="00D81208">
      <w:pPr>
        <w:spacing w:after="120"/>
        <w:ind w:left="1405" w:hangingChars="700" w:hanging="1405"/>
        <w:rPr>
          <w:rFonts w:ascii="Cambria" w:hAnsi="Cambria"/>
          <w:b/>
          <w:bCs/>
        </w:rPr>
      </w:pPr>
      <w:r w:rsidRPr="00D81208">
        <w:rPr>
          <w:rFonts w:ascii="Cambria" w:hAnsi="Cambria" w:hint="eastAsia"/>
          <w:b/>
          <w:bCs/>
        </w:rPr>
        <w:t>P</w:t>
      </w:r>
      <w:r w:rsidRPr="00D81208">
        <w:rPr>
          <w:rFonts w:ascii="Cambria" w:hAnsi="Cambria"/>
          <w:b/>
          <w:bCs/>
        </w:rPr>
        <w:t>roposal</w:t>
      </w:r>
      <w:r w:rsidR="00D81208">
        <w:rPr>
          <w:rFonts w:ascii="Cambria" w:hAnsi="Cambria"/>
          <w:b/>
          <w:bCs/>
        </w:rPr>
        <w:t>:</w:t>
      </w:r>
      <w:r w:rsidRPr="00D81208">
        <w:rPr>
          <w:rFonts w:ascii="Cambria" w:hAnsi="Cambria"/>
          <w:b/>
          <w:bCs/>
        </w:rPr>
        <w:t xml:space="preserve"> Send a</w:t>
      </w:r>
      <w:r w:rsidR="00E2782A">
        <w:rPr>
          <w:rFonts w:ascii="Cambria" w:hAnsi="Cambria"/>
          <w:b/>
          <w:bCs/>
        </w:rPr>
        <w:t>n</w:t>
      </w:r>
      <w:r w:rsidRPr="00D81208">
        <w:rPr>
          <w:rFonts w:ascii="Cambria" w:hAnsi="Cambria"/>
          <w:b/>
          <w:bCs/>
        </w:rPr>
        <w:t xml:space="preserve"> LS to RAN2&amp;SA4 for checking </w:t>
      </w:r>
      <w:r w:rsidR="00B006FA">
        <w:rPr>
          <w:rFonts w:ascii="Cambria" w:hAnsi="Cambria"/>
          <w:b/>
          <w:bCs/>
        </w:rPr>
        <w:t xml:space="preserve">their views on </w:t>
      </w:r>
      <w:r w:rsidRPr="00D81208">
        <w:rPr>
          <w:rFonts w:ascii="Cambria" w:hAnsi="Cambria"/>
          <w:b/>
          <w:bCs/>
        </w:rPr>
        <w:t>the potential issues:</w:t>
      </w:r>
    </w:p>
    <w:p w14:paraId="439A83F2" w14:textId="36DBD2DA" w:rsidR="00B006FA" w:rsidRDefault="00B006FA" w:rsidP="00D81208">
      <w:pPr>
        <w:pStyle w:val="af7"/>
        <w:numPr>
          <w:ilvl w:val="0"/>
          <w:numId w:val="26"/>
        </w:numPr>
        <w:spacing w:after="120"/>
        <w:ind w:left="1162" w:hanging="442"/>
        <w:rPr>
          <w:rFonts w:ascii="Cambria" w:hAnsi="Cambria"/>
          <w:b/>
          <w:bCs/>
        </w:rPr>
      </w:pPr>
      <w:r w:rsidRPr="008D4B9A">
        <w:rPr>
          <w:rFonts w:ascii="Cambria" w:hAnsi="Cambria"/>
          <w:b/>
          <w:bCs/>
        </w:rPr>
        <w:t>For handover from gNB to ng-eNB the other QoE measurement</w:t>
      </w:r>
      <w:r w:rsidR="00E65D4D">
        <w:rPr>
          <w:rFonts w:ascii="Cambria" w:hAnsi="Cambria"/>
          <w:b/>
          <w:bCs/>
        </w:rPr>
        <w:t xml:space="preserve"> </w:t>
      </w:r>
      <w:r w:rsidR="00A758DE">
        <w:rPr>
          <w:rFonts w:ascii="Cambria" w:hAnsi="Cambria"/>
          <w:b/>
          <w:bCs/>
        </w:rPr>
        <w:t>configurations</w:t>
      </w:r>
      <w:r w:rsidRPr="008D4B9A">
        <w:rPr>
          <w:rFonts w:ascii="Cambria" w:hAnsi="Cambria"/>
          <w:b/>
          <w:bCs/>
        </w:rPr>
        <w:t xml:space="preserve"> are not released during handover procedure according to existing TS 38.331. </w:t>
      </w:r>
      <w:r>
        <w:rPr>
          <w:rFonts w:ascii="Cambria" w:hAnsi="Cambria"/>
          <w:b/>
          <w:bCs/>
        </w:rPr>
        <w:t>H</w:t>
      </w:r>
      <w:r w:rsidRPr="008D4B9A">
        <w:rPr>
          <w:rFonts w:ascii="Cambria" w:hAnsi="Cambria"/>
          <w:b/>
          <w:bCs/>
        </w:rPr>
        <w:t>ow UE releases the QoE measurement</w:t>
      </w:r>
      <w:r w:rsidR="00E65D4D">
        <w:rPr>
          <w:rFonts w:ascii="Cambria" w:hAnsi="Cambria"/>
          <w:b/>
          <w:bCs/>
        </w:rPr>
        <w:t xml:space="preserve"> configuration</w:t>
      </w:r>
      <w:r w:rsidRPr="008D4B9A">
        <w:rPr>
          <w:rFonts w:ascii="Cambria" w:hAnsi="Cambria"/>
          <w:b/>
          <w:bCs/>
        </w:rPr>
        <w:t xml:space="preserve">s in source side needs to </w:t>
      </w:r>
      <w:r>
        <w:rPr>
          <w:rFonts w:ascii="Cambria" w:hAnsi="Cambria"/>
          <w:b/>
          <w:bCs/>
        </w:rPr>
        <w:t>be addressed</w:t>
      </w:r>
      <w:r w:rsidRPr="008D4B9A">
        <w:rPr>
          <w:rFonts w:ascii="Cambria" w:hAnsi="Cambria"/>
          <w:b/>
          <w:bCs/>
        </w:rPr>
        <w:t>.</w:t>
      </w:r>
    </w:p>
    <w:p w14:paraId="3004BDF9" w14:textId="2A34D75A" w:rsidR="00E33328" w:rsidRPr="00B006FA" w:rsidRDefault="00D63DE9" w:rsidP="007560A2">
      <w:pPr>
        <w:pStyle w:val="af7"/>
        <w:numPr>
          <w:ilvl w:val="0"/>
          <w:numId w:val="26"/>
        </w:numPr>
        <w:spacing w:after="120"/>
        <w:ind w:left="1162" w:hanging="442"/>
        <w:rPr>
          <w:rFonts w:ascii="Cambria" w:hAnsi="Cambria"/>
          <w:b/>
          <w:bCs/>
        </w:rPr>
      </w:pPr>
      <w:r w:rsidRPr="00D81208">
        <w:rPr>
          <w:rFonts w:ascii="Cambria" w:hAnsi="Cambria"/>
          <w:b/>
          <w:bCs/>
        </w:rPr>
        <w:t xml:space="preserve">For handover from ng-gNB to gNB, the UE application layer may receive </w:t>
      </w:r>
      <w:r w:rsidR="006E2C09">
        <w:rPr>
          <w:rFonts w:ascii="Cambria" w:hAnsi="Cambria"/>
          <w:b/>
          <w:bCs/>
        </w:rPr>
        <w:t>a duplicated</w:t>
      </w:r>
      <w:r w:rsidRPr="00D81208">
        <w:rPr>
          <w:rFonts w:ascii="Cambria" w:hAnsi="Cambria"/>
          <w:b/>
          <w:bCs/>
        </w:rPr>
        <w:t xml:space="preserve"> </w:t>
      </w:r>
      <w:r w:rsidRPr="00D81208">
        <w:rPr>
          <w:rFonts w:ascii="Cambria" w:hAnsi="Cambria"/>
          <w:b/>
          <w:bCs/>
          <w:i/>
        </w:rPr>
        <w:t>measConfigAppLayerContainer</w:t>
      </w:r>
      <w:r w:rsidRPr="00D81208">
        <w:rPr>
          <w:rFonts w:ascii="Cambria" w:hAnsi="Cambria"/>
          <w:b/>
          <w:bCs/>
        </w:rPr>
        <w:t xml:space="preserve">. </w:t>
      </w:r>
      <w:r w:rsidR="003C6220">
        <w:rPr>
          <w:rFonts w:ascii="Cambria" w:hAnsi="Cambria"/>
          <w:b/>
          <w:bCs/>
        </w:rPr>
        <w:t>H</w:t>
      </w:r>
      <w:r w:rsidRPr="00D81208">
        <w:rPr>
          <w:rFonts w:ascii="Cambria" w:hAnsi="Cambria"/>
          <w:b/>
          <w:bCs/>
        </w:rPr>
        <w:t xml:space="preserve">ow UE application layer handles the duplicated </w:t>
      </w:r>
      <w:r w:rsidRPr="00D81208">
        <w:rPr>
          <w:rFonts w:ascii="Cambria" w:eastAsia="宋体" w:hAnsi="Cambria" w:cs="Arial"/>
          <w:b/>
          <w:bCs/>
        </w:rPr>
        <w:t xml:space="preserve">container for Application Layer Measurement Configuration needs to </w:t>
      </w:r>
      <w:r w:rsidR="00E2782A">
        <w:rPr>
          <w:rFonts w:ascii="Cambria" w:eastAsia="宋体" w:hAnsi="Cambria" w:cs="Arial"/>
          <w:b/>
          <w:bCs/>
        </w:rPr>
        <w:t xml:space="preserve">be </w:t>
      </w:r>
      <w:r w:rsidRPr="00D81208">
        <w:rPr>
          <w:rFonts w:ascii="Cambria" w:eastAsia="宋体" w:hAnsi="Cambria" w:cs="Arial"/>
          <w:b/>
          <w:bCs/>
        </w:rPr>
        <w:t>check</w:t>
      </w:r>
      <w:r w:rsidR="00E2782A">
        <w:rPr>
          <w:rFonts w:ascii="Cambria" w:eastAsia="宋体" w:hAnsi="Cambria" w:cs="Arial"/>
          <w:b/>
          <w:bCs/>
        </w:rPr>
        <w:t>ed</w:t>
      </w:r>
      <w:r w:rsidRPr="00D81208">
        <w:rPr>
          <w:rFonts w:ascii="Cambria" w:eastAsia="宋体" w:hAnsi="Cambria" w:cs="Arial"/>
          <w:b/>
          <w:bCs/>
        </w:rPr>
        <w:t xml:space="preserve"> with SA4.</w:t>
      </w:r>
    </w:p>
    <w:p w14:paraId="42501FCB" w14:textId="719F46E0" w:rsidR="009F741F" w:rsidRDefault="009F741F" w:rsidP="009F741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lastRenderedPageBreak/>
        <w:t>3</w:t>
      </w:r>
      <w:r w:rsidRPr="002E76D7">
        <w:rPr>
          <w:rFonts w:eastAsia="宋体" w:cs="Arial"/>
          <w:b/>
          <w:sz w:val="32"/>
          <w:szCs w:val="32"/>
          <w:lang w:val="en-US" w:eastAsia="zh-CN"/>
        </w:rPr>
        <w:tab/>
      </w:r>
      <w:r w:rsidR="00B006FA">
        <w:rPr>
          <w:rFonts w:eastAsia="宋体" w:cs="Arial"/>
          <w:b/>
          <w:sz w:val="32"/>
          <w:szCs w:val="32"/>
          <w:lang w:val="en-US" w:eastAsia="zh-CN"/>
        </w:rPr>
        <w:t>Conclusion</w:t>
      </w:r>
    </w:p>
    <w:p w14:paraId="554FAD58" w14:textId="77777777" w:rsidR="00315B81" w:rsidRPr="000A5739" w:rsidRDefault="00315B81" w:rsidP="00315B81">
      <w:pPr>
        <w:pStyle w:val="B1"/>
        <w:spacing w:after="0"/>
        <w:ind w:left="0" w:firstLine="0"/>
        <w:rPr>
          <w:rFonts w:asciiTheme="majorHAnsi" w:eastAsiaTheme="minorEastAsia" w:hAnsiTheme="majorHAnsi" w:cs="Arial"/>
          <w:shd w:val="clear" w:color="auto" w:fill="FFFFFF"/>
          <w:lang w:eastAsia="zh-CN"/>
        </w:rPr>
      </w:pPr>
      <w:r>
        <w:rPr>
          <w:rFonts w:asciiTheme="majorHAnsi" w:eastAsiaTheme="minorEastAsia" w:hAnsiTheme="majorHAnsi" w:cs="Arial" w:hint="eastAsia"/>
          <w:shd w:val="clear" w:color="auto" w:fill="FFFFFF"/>
          <w:lang w:eastAsia="zh-CN"/>
        </w:rPr>
        <w:t>Th</w:t>
      </w:r>
      <w:r>
        <w:rPr>
          <w:rFonts w:asciiTheme="majorHAnsi" w:eastAsiaTheme="minorEastAsia" w:hAnsiTheme="majorHAnsi" w:cs="Arial"/>
          <w:shd w:val="clear" w:color="auto" w:fill="FFFFFF"/>
          <w:lang w:eastAsia="zh-CN"/>
        </w:rPr>
        <w:t xml:space="preserve">is contribution discusses the potential issues on </w:t>
      </w:r>
      <w:r w:rsidRPr="000A5739">
        <w:rPr>
          <w:rFonts w:asciiTheme="majorHAnsi" w:eastAsiaTheme="minorEastAsia" w:hAnsiTheme="majorHAnsi" w:cs="Arial"/>
          <w:shd w:val="clear" w:color="auto" w:fill="FFFFFF"/>
          <w:lang w:eastAsia="zh-CN"/>
        </w:rPr>
        <w:t>QoE measurement during intra-5GC inter-RAT handover</w:t>
      </w:r>
      <w:r>
        <w:rPr>
          <w:rFonts w:asciiTheme="majorHAnsi" w:eastAsiaTheme="minorEastAsia" w:hAnsiTheme="majorHAnsi" w:cs="Arial"/>
          <w:shd w:val="clear" w:color="auto" w:fill="FFFFFF"/>
          <w:lang w:eastAsia="zh-CN"/>
        </w:rPr>
        <w:t>.</w:t>
      </w:r>
    </w:p>
    <w:p w14:paraId="7DE320AF" w14:textId="05786C6E" w:rsidR="00315B81" w:rsidRPr="008D4B9A" w:rsidRDefault="00315B81" w:rsidP="00315B81">
      <w:pPr>
        <w:spacing w:after="120"/>
        <w:ind w:left="1405" w:hangingChars="700" w:hanging="1405"/>
        <w:rPr>
          <w:rFonts w:ascii="Cambria" w:hAnsi="Cambria"/>
          <w:b/>
          <w:bCs/>
        </w:rPr>
      </w:pPr>
      <w:r w:rsidRPr="008D4B9A">
        <w:rPr>
          <w:rFonts w:ascii="Cambria" w:hAnsi="Cambria"/>
          <w:b/>
          <w:bCs/>
        </w:rPr>
        <w:t>Observation 1: For handover from gNB to ng-eNB the other QoE measurement</w:t>
      </w:r>
      <w:r w:rsidR="00315222">
        <w:rPr>
          <w:rFonts w:ascii="Cambria" w:hAnsi="Cambria"/>
          <w:b/>
          <w:bCs/>
        </w:rPr>
        <w:t xml:space="preserve"> configuration</w:t>
      </w:r>
      <w:r w:rsidRPr="008D4B9A">
        <w:rPr>
          <w:rFonts w:ascii="Cambria" w:hAnsi="Cambria"/>
          <w:b/>
          <w:bCs/>
        </w:rPr>
        <w:t xml:space="preserve">s are not released during handover procedure according to existing TS 38.331. </w:t>
      </w:r>
      <w:r>
        <w:rPr>
          <w:rFonts w:ascii="Cambria" w:hAnsi="Cambria"/>
          <w:b/>
          <w:bCs/>
        </w:rPr>
        <w:t>H</w:t>
      </w:r>
      <w:r w:rsidRPr="008D4B9A">
        <w:rPr>
          <w:rFonts w:ascii="Cambria" w:hAnsi="Cambria"/>
          <w:b/>
          <w:bCs/>
        </w:rPr>
        <w:t>ow UE releases the</w:t>
      </w:r>
      <w:r w:rsidR="00315222">
        <w:rPr>
          <w:rFonts w:ascii="Cambria" w:hAnsi="Cambria"/>
          <w:b/>
          <w:bCs/>
        </w:rPr>
        <w:t>se</w:t>
      </w:r>
      <w:r w:rsidRPr="008D4B9A">
        <w:rPr>
          <w:rFonts w:ascii="Cambria" w:hAnsi="Cambria"/>
          <w:b/>
          <w:bCs/>
        </w:rPr>
        <w:t xml:space="preserve"> QoE measurement</w:t>
      </w:r>
      <w:r w:rsidR="00315222">
        <w:rPr>
          <w:rFonts w:ascii="Cambria" w:hAnsi="Cambria"/>
          <w:b/>
          <w:bCs/>
        </w:rPr>
        <w:t xml:space="preserve"> configuration</w:t>
      </w:r>
      <w:r w:rsidRPr="008D4B9A">
        <w:rPr>
          <w:rFonts w:ascii="Cambria" w:hAnsi="Cambria"/>
          <w:b/>
          <w:bCs/>
        </w:rPr>
        <w:t xml:space="preserve">s in source side needs to </w:t>
      </w:r>
      <w:r>
        <w:rPr>
          <w:rFonts w:ascii="Cambria" w:hAnsi="Cambria"/>
          <w:b/>
          <w:bCs/>
        </w:rPr>
        <w:t>be addressed</w:t>
      </w:r>
      <w:r w:rsidRPr="008D4B9A">
        <w:rPr>
          <w:rFonts w:ascii="Cambria" w:hAnsi="Cambria"/>
          <w:b/>
          <w:bCs/>
        </w:rPr>
        <w:t>.</w:t>
      </w:r>
    </w:p>
    <w:p w14:paraId="09590C1B" w14:textId="48366F96" w:rsidR="00315B81" w:rsidRPr="00940F54" w:rsidRDefault="00315B81" w:rsidP="00315B81">
      <w:pPr>
        <w:spacing w:after="120"/>
        <w:ind w:left="1405" w:hangingChars="700" w:hanging="1405"/>
        <w:rPr>
          <w:rFonts w:ascii="Cambria" w:hAnsi="Cambria"/>
          <w:b/>
          <w:bCs/>
        </w:rPr>
      </w:pPr>
      <w:r w:rsidRPr="00940F54">
        <w:rPr>
          <w:rFonts w:ascii="Cambria" w:hAnsi="Cambria"/>
          <w:b/>
          <w:bCs/>
        </w:rPr>
        <w:t>Observation 2: For handover from ng-</w:t>
      </w:r>
      <w:r w:rsidRPr="00940F54">
        <w:rPr>
          <w:rFonts w:ascii="Cambria" w:hAnsi="Cambria" w:hint="eastAsia"/>
          <w:b/>
          <w:bCs/>
        </w:rPr>
        <w:t>e</w:t>
      </w:r>
      <w:r w:rsidRPr="00940F54">
        <w:rPr>
          <w:rFonts w:ascii="Cambria" w:hAnsi="Cambria"/>
          <w:b/>
          <w:bCs/>
        </w:rPr>
        <w:t xml:space="preserve">NB to gNB, the UE application layer may receive </w:t>
      </w:r>
      <w:r w:rsidR="00024F04" w:rsidRPr="00024F04">
        <w:rPr>
          <w:rFonts w:ascii="Cambria" w:hAnsi="Cambria"/>
          <w:b/>
          <w:bCs/>
        </w:rPr>
        <w:t>a duplicated</w:t>
      </w:r>
      <w:r w:rsidRPr="00940F54">
        <w:rPr>
          <w:rFonts w:ascii="Cambria" w:hAnsi="Cambria"/>
          <w:b/>
          <w:bCs/>
        </w:rPr>
        <w:t xml:space="preserve"> </w:t>
      </w:r>
      <w:r w:rsidRPr="00940F54">
        <w:rPr>
          <w:rFonts w:ascii="Cambria" w:hAnsi="Cambria"/>
          <w:b/>
          <w:bCs/>
          <w:i/>
          <w:iCs/>
        </w:rPr>
        <w:t>measConfigAppLayerContainer</w:t>
      </w:r>
      <w:r w:rsidRPr="00940F54">
        <w:rPr>
          <w:rFonts w:ascii="Cambria" w:hAnsi="Cambria"/>
          <w:b/>
          <w:bCs/>
        </w:rPr>
        <w:t>. How UE application layer handles the duplicated container for Application Layer Measurement Configuration needs to</w:t>
      </w:r>
      <w:r>
        <w:rPr>
          <w:rFonts w:ascii="Cambria" w:hAnsi="Cambria"/>
          <w:b/>
          <w:bCs/>
        </w:rPr>
        <w:t xml:space="preserve"> be</w:t>
      </w:r>
      <w:r w:rsidRPr="00940F54">
        <w:rPr>
          <w:rFonts w:ascii="Cambria" w:hAnsi="Cambria"/>
          <w:b/>
          <w:bCs/>
        </w:rPr>
        <w:t xml:space="preserve"> checked with SA4.</w:t>
      </w:r>
    </w:p>
    <w:p w14:paraId="59EE9505" w14:textId="67F2A2CF" w:rsidR="00315B81" w:rsidRPr="00D81208" w:rsidRDefault="00315B81" w:rsidP="00315B81">
      <w:pPr>
        <w:spacing w:after="120"/>
        <w:ind w:left="1405" w:hangingChars="700" w:hanging="1405"/>
        <w:rPr>
          <w:rFonts w:ascii="Cambria" w:hAnsi="Cambria"/>
          <w:b/>
          <w:bCs/>
        </w:rPr>
      </w:pPr>
      <w:r w:rsidRPr="00D81208">
        <w:rPr>
          <w:rFonts w:ascii="Cambria" w:hAnsi="Cambria" w:hint="eastAsia"/>
          <w:b/>
          <w:bCs/>
        </w:rPr>
        <w:t>P</w:t>
      </w:r>
      <w:r w:rsidRPr="00D81208">
        <w:rPr>
          <w:rFonts w:ascii="Cambria" w:hAnsi="Cambria"/>
          <w:b/>
          <w:bCs/>
        </w:rPr>
        <w:t>roposal</w:t>
      </w:r>
      <w:r>
        <w:rPr>
          <w:rFonts w:ascii="Cambria" w:hAnsi="Cambria"/>
          <w:b/>
          <w:bCs/>
        </w:rPr>
        <w:t>:</w:t>
      </w:r>
      <w:r w:rsidRPr="00D81208">
        <w:rPr>
          <w:rFonts w:ascii="Cambria" w:hAnsi="Cambria"/>
          <w:b/>
          <w:bCs/>
        </w:rPr>
        <w:t xml:space="preserve"> Send a</w:t>
      </w:r>
      <w:r w:rsidR="00E2782A">
        <w:rPr>
          <w:rFonts w:ascii="Cambria" w:hAnsi="Cambria"/>
          <w:b/>
          <w:bCs/>
        </w:rPr>
        <w:t>n</w:t>
      </w:r>
      <w:r w:rsidRPr="00D81208">
        <w:rPr>
          <w:rFonts w:ascii="Cambria" w:hAnsi="Cambria"/>
          <w:b/>
          <w:bCs/>
        </w:rPr>
        <w:t xml:space="preserve"> LS to RAN2&amp;SA4 for checking </w:t>
      </w:r>
      <w:r>
        <w:rPr>
          <w:rFonts w:ascii="Cambria" w:hAnsi="Cambria"/>
          <w:b/>
          <w:bCs/>
        </w:rPr>
        <w:t xml:space="preserve">their views on </w:t>
      </w:r>
      <w:r w:rsidRPr="00D81208">
        <w:rPr>
          <w:rFonts w:ascii="Cambria" w:hAnsi="Cambria"/>
          <w:b/>
          <w:bCs/>
        </w:rPr>
        <w:t>the potential issues:</w:t>
      </w:r>
    </w:p>
    <w:p w14:paraId="30D7C2E6" w14:textId="72D258F6" w:rsidR="00315B81" w:rsidRDefault="00315B81" w:rsidP="00315B81">
      <w:pPr>
        <w:pStyle w:val="af7"/>
        <w:numPr>
          <w:ilvl w:val="0"/>
          <w:numId w:val="26"/>
        </w:numPr>
        <w:spacing w:after="120"/>
        <w:ind w:left="1162" w:hanging="442"/>
        <w:rPr>
          <w:rFonts w:ascii="Cambria" w:hAnsi="Cambria"/>
          <w:b/>
          <w:bCs/>
        </w:rPr>
      </w:pPr>
      <w:r w:rsidRPr="008D4B9A">
        <w:rPr>
          <w:rFonts w:ascii="Cambria" w:hAnsi="Cambria"/>
          <w:b/>
          <w:bCs/>
        </w:rPr>
        <w:t>For handover from gNB to ng-eNB the other QoE measurement</w:t>
      </w:r>
      <w:r w:rsidR="00F0010E">
        <w:rPr>
          <w:rFonts w:ascii="Cambria" w:hAnsi="Cambria"/>
          <w:b/>
          <w:bCs/>
        </w:rPr>
        <w:t xml:space="preserve"> configuration</w:t>
      </w:r>
      <w:r w:rsidRPr="008D4B9A">
        <w:rPr>
          <w:rFonts w:ascii="Cambria" w:hAnsi="Cambria"/>
          <w:b/>
          <w:bCs/>
        </w:rPr>
        <w:t xml:space="preserve">s are not released during handover procedure according to existing TS 38.331. </w:t>
      </w:r>
      <w:r>
        <w:rPr>
          <w:rFonts w:ascii="Cambria" w:hAnsi="Cambria"/>
          <w:b/>
          <w:bCs/>
        </w:rPr>
        <w:t>H</w:t>
      </w:r>
      <w:r w:rsidRPr="008D4B9A">
        <w:rPr>
          <w:rFonts w:ascii="Cambria" w:hAnsi="Cambria"/>
          <w:b/>
          <w:bCs/>
        </w:rPr>
        <w:t>ow UE releases the</w:t>
      </w:r>
      <w:r w:rsidR="00F0010E">
        <w:rPr>
          <w:rFonts w:ascii="Cambria" w:hAnsi="Cambria"/>
          <w:b/>
          <w:bCs/>
        </w:rPr>
        <w:t>se</w:t>
      </w:r>
      <w:r w:rsidRPr="008D4B9A">
        <w:rPr>
          <w:rFonts w:ascii="Cambria" w:hAnsi="Cambria"/>
          <w:b/>
          <w:bCs/>
        </w:rPr>
        <w:t xml:space="preserve"> QoE measurement</w:t>
      </w:r>
      <w:r w:rsidR="00F0010E">
        <w:rPr>
          <w:rFonts w:ascii="Cambria" w:hAnsi="Cambria"/>
          <w:b/>
          <w:bCs/>
        </w:rPr>
        <w:t xml:space="preserve"> configuration</w:t>
      </w:r>
      <w:r w:rsidRPr="008D4B9A">
        <w:rPr>
          <w:rFonts w:ascii="Cambria" w:hAnsi="Cambria"/>
          <w:b/>
          <w:bCs/>
        </w:rPr>
        <w:t xml:space="preserve">s in source side needs to </w:t>
      </w:r>
      <w:r>
        <w:rPr>
          <w:rFonts w:ascii="Cambria" w:hAnsi="Cambria"/>
          <w:b/>
          <w:bCs/>
        </w:rPr>
        <w:t>be addressed</w:t>
      </w:r>
      <w:r w:rsidRPr="008D4B9A">
        <w:rPr>
          <w:rFonts w:ascii="Cambria" w:hAnsi="Cambria"/>
          <w:b/>
          <w:bCs/>
        </w:rPr>
        <w:t>.</w:t>
      </w:r>
    </w:p>
    <w:p w14:paraId="6AB1898C" w14:textId="6B63A9CD" w:rsidR="00B006FA" w:rsidRPr="00F93339" w:rsidRDefault="00315B81" w:rsidP="00B006FA">
      <w:pPr>
        <w:pStyle w:val="af7"/>
        <w:numPr>
          <w:ilvl w:val="0"/>
          <w:numId w:val="26"/>
        </w:numPr>
        <w:spacing w:after="120"/>
        <w:ind w:left="1162" w:hanging="442"/>
        <w:rPr>
          <w:rFonts w:ascii="Cambria" w:hAnsi="Cambria"/>
          <w:b/>
          <w:bCs/>
        </w:rPr>
      </w:pPr>
      <w:r w:rsidRPr="00D81208">
        <w:rPr>
          <w:rFonts w:ascii="Cambria" w:hAnsi="Cambria"/>
          <w:b/>
          <w:bCs/>
        </w:rPr>
        <w:t xml:space="preserve">For handover from ng-gNB to gNB, the UE application layer may receive </w:t>
      </w:r>
      <w:r w:rsidR="006E2C09" w:rsidRPr="006E2C09">
        <w:rPr>
          <w:rFonts w:ascii="Cambria" w:hAnsi="Cambria"/>
          <w:b/>
          <w:bCs/>
        </w:rPr>
        <w:t>a duplicated</w:t>
      </w:r>
      <w:r w:rsidRPr="00D81208">
        <w:rPr>
          <w:rFonts w:ascii="Cambria" w:hAnsi="Cambria"/>
          <w:b/>
          <w:bCs/>
        </w:rPr>
        <w:t xml:space="preserve"> </w:t>
      </w:r>
      <w:r w:rsidRPr="00D81208">
        <w:rPr>
          <w:rFonts w:ascii="Cambria" w:hAnsi="Cambria"/>
          <w:b/>
          <w:bCs/>
          <w:i/>
        </w:rPr>
        <w:t>measConfigAppLayerContainer</w:t>
      </w:r>
      <w:r w:rsidRPr="00D81208">
        <w:rPr>
          <w:rFonts w:ascii="Cambria" w:hAnsi="Cambria"/>
          <w:b/>
          <w:bCs/>
        </w:rPr>
        <w:t xml:space="preserve">. </w:t>
      </w:r>
      <w:r>
        <w:rPr>
          <w:rFonts w:ascii="Cambria" w:hAnsi="Cambria"/>
          <w:b/>
          <w:bCs/>
        </w:rPr>
        <w:t>H</w:t>
      </w:r>
      <w:r w:rsidRPr="00D81208">
        <w:rPr>
          <w:rFonts w:ascii="Cambria" w:hAnsi="Cambria"/>
          <w:b/>
          <w:bCs/>
        </w:rPr>
        <w:t xml:space="preserve">ow UE application layer handles the duplicated </w:t>
      </w:r>
      <w:r w:rsidRPr="00D81208">
        <w:rPr>
          <w:rFonts w:ascii="Cambria" w:eastAsia="宋体" w:hAnsi="Cambria" w:cs="Arial"/>
          <w:b/>
          <w:bCs/>
        </w:rPr>
        <w:t xml:space="preserve">container for Application Layer Measurement Configuration needs to </w:t>
      </w:r>
      <w:r w:rsidR="00E2782A">
        <w:rPr>
          <w:rFonts w:ascii="Cambria" w:eastAsia="宋体" w:hAnsi="Cambria" w:cs="Arial"/>
          <w:b/>
          <w:bCs/>
        </w:rPr>
        <w:t xml:space="preserve">be </w:t>
      </w:r>
      <w:r w:rsidRPr="00D81208">
        <w:rPr>
          <w:rFonts w:ascii="Cambria" w:eastAsia="宋体" w:hAnsi="Cambria" w:cs="Arial"/>
          <w:b/>
          <w:bCs/>
        </w:rPr>
        <w:t>check</w:t>
      </w:r>
      <w:r w:rsidR="00E2782A">
        <w:rPr>
          <w:rFonts w:ascii="Cambria" w:eastAsia="宋体" w:hAnsi="Cambria" w:cs="Arial"/>
          <w:b/>
          <w:bCs/>
        </w:rPr>
        <w:t>ed</w:t>
      </w:r>
      <w:r w:rsidRPr="00D81208">
        <w:rPr>
          <w:rFonts w:ascii="Cambria" w:eastAsia="宋体" w:hAnsi="Cambria" w:cs="Arial"/>
          <w:b/>
          <w:bCs/>
        </w:rPr>
        <w:t xml:space="preserve"> with SA4.</w:t>
      </w: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1E366AF" w14:textId="305FFBCD" w:rsidR="00325A8D" w:rsidRPr="00AF1C6F" w:rsidRDefault="00325A8D" w:rsidP="00AF1C6F">
      <w:pPr>
        <w:rPr>
          <w:rFonts w:ascii="Arial" w:eastAsiaTheme="minorEastAsia" w:hAnsi="Arial" w:cs="Arial"/>
          <w:shd w:val="clear" w:color="auto" w:fill="FFFFFF"/>
          <w:lang w:eastAsia="zh-CN"/>
        </w:rPr>
      </w:pPr>
    </w:p>
    <w:sectPr w:rsidR="00325A8D" w:rsidRPr="00AF1C6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F4F5A" w14:textId="77777777" w:rsidR="0028560C" w:rsidRDefault="0028560C">
      <w:pPr>
        <w:spacing w:after="0"/>
      </w:pPr>
      <w:r>
        <w:separator/>
      </w:r>
    </w:p>
  </w:endnote>
  <w:endnote w:type="continuationSeparator" w:id="0">
    <w:p w14:paraId="30A971C9" w14:textId="77777777" w:rsidR="0028560C" w:rsidRDefault="002856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1"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99758" w14:textId="77777777" w:rsidR="0028560C" w:rsidRDefault="0028560C">
      <w:pPr>
        <w:spacing w:after="0"/>
      </w:pPr>
      <w:r>
        <w:separator/>
      </w:r>
    </w:p>
  </w:footnote>
  <w:footnote w:type="continuationSeparator" w:id="0">
    <w:p w14:paraId="36A6A9E5" w14:textId="77777777" w:rsidR="0028560C" w:rsidRDefault="002856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F400D4"/>
    <w:multiLevelType w:val="hybridMultilevel"/>
    <w:tmpl w:val="B63A6EC0"/>
    <w:lvl w:ilvl="0" w:tplc="A94686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1755D24"/>
    <w:multiLevelType w:val="hybridMultilevel"/>
    <w:tmpl w:val="0BBC64F6"/>
    <w:lvl w:ilvl="0" w:tplc="E8F0E8B8">
      <w:start w:val="2018"/>
      <w:numFmt w:val="bullet"/>
      <w:lvlText w:val="-"/>
      <w:lvlJc w:val="left"/>
      <w:pPr>
        <w:ind w:left="1160" w:hanging="440"/>
      </w:pPr>
      <w:rPr>
        <w:rFonts w:ascii="Arial" w:eastAsia="Times New Roman" w:hAnsi="Arial" w:cs="Aria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85175763">
    <w:abstractNumId w:val="21"/>
  </w:num>
  <w:num w:numId="2" w16cid:durableId="1646927845">
    <w:abstractNumId w:val="20"/>
  </w:num>
  <w:num w:numId="3" w16cid:durableId="1410074913">
    <w:abstractNumId w:val="17"/>
  </w:num>
  <w:num w:numId="4" w16cid:durableId="1100950594">
    <w:abstractNumId w:val="13"/>
  </w:num>
  <w:num w:numId="5" w16cid:durableId="172570166">
    <w:abstractNumId w:val="15"/>
  </w:num>
  <w:num w:numId="6" w16cid:durableId="525293050">
    <w:abstractNumId w:val="15"/>
    <w:lvlOverride w:ilvl="0">
      <w:startOverride w:val="1"/>
    </w:lvlOverride>
  </w:num>
  <w:num w:numId="7" w16cid:durableId="732001104">
    <w:abstractNumId w:val="22"/>
  </w:num>
  <w:num w:numId="8" w16cid:durableId="1991405018">
    <w:abstractNumId w:val="10"/>
  </w:num>
  <w:num w:numId="9" w16cid:durableId="45303895">
    <w:abstractNumId w:val="9"/>
  </w:num>
  <w:num w:numId="10" w16cid:durableId="1792480242">
    <w:abstractNumId w:val="7"/>
  </w:num>
  <w:num w:numId="11" w16cid:durableId="469443758">
    <w:abstractNumId w:val="6"/>
  </w:num>
  <w:num w:numId="12" w16cid:durableId="326835193">
    <w:abstractNumId w:val="5"/>
  </w:num>
  <w:num w:numId="13" w16cid:durableId="1338313142">
    <w:abstractNumId w:val="4"/>
  </w:num>
  <w:num w:numId="14" w16cid:durableId="1771001410">
    <w:abstractNumId w:val="8"/>
  </w:num>
  <w:num w:numId="15" w16cid:durableId="757412047">
    <w:abstractNumId w:val="3"/>
  </w:num>
  <w:num w:numId="16" w16cid:durableId="907227412">
    <w:abstractNumId w:val="2"/>
  </w:num>
  <w:num w:numId="17" w16cid:durableId="1439985746">
    <w:abstractNumId w:val="1"/>
  </w:num>
  <w:num w:numId="18" w16cid:durableId="1112091872">
    <w:abstractNumId w:val="0"/>
  </w:num>
  <w:num w:numId="19" w16cid:durableId="659308241">
    <w:abstractNumId w:val="23"/>
  </w:num>
  <w:num w:numId="20" w16cid:durableId="133526175">
    <w:abstractNumId w:val="18"/>
  </w:num>
  <w:num w:numId="21" w16cid:durableId="963075049">
    <w:abstractNumId w:val="19"/>
  </w:num>
  <w:num w:numId="22" w16cid:durableId="5405997">
    <w:abstractNumId w:val="12"/>
  </w:num>
  <w:num w:numId="23" w16cid:durableId="255140780">
    <w:abstractNumId w:val="14"/>
  </w:num>
  <w:num w:numId="24" w16cid:durableId="785080813">
    <w:abstractNumId w:val="11"/>
  </w:num>
  <w:num w:numId="25" w16cid:durableId="1638414201">
    <w:abstractNumId w:val="15"/>
  </w:num>
  <w:num w:numId="26" w16cid:durableId="98993985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161A"/>
    <w:rsid w:val="00014181"/>
    <w:rsid w:val="0001447C"/>
    <w:rsid w:val="000152BF"/>
    <w:rsid w:val="00015561"/>
    <w:rsid w:val="00016AD2"/>
    <w:rsid w:val="00016F2D"/>
    <w:rsid w:val="00017F23"/>
    <w:rsid w:val="0002218A"/>
    <w:rsid w:val="00023E1B"/>
    <w:rsid w:val="00024F04"/>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4B74"/>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A5739"/>
    <w:rsid w:val="000B0645"/>
    <w:rsid w:val="000B13AB"/>
    <w:rsid w:val="000B15F9"/>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C79F1"/>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3016"/>
    <w:rsid w:val="0014617A"/>
    <w:rsid w:val="001463F9"/>
    <w:rsid w:val="001465B0"/>
    <w:rsid w:val="00146E02"/>
    <w:rsid w:val="00147072"/>
    <w:rsid w:val="00147497"/>
    <w:rsid w:val="001474EA"/>
    <w:rsid w:val="00150518"/>
    <w:rsid w:val="001512FC"/>
    <w:rsid w:val="001524A5"/>
    <w:rsid w:val="001527B9"/>
    <w:rsid w:val="00153029"/>
    <w:rsid w:val="00153C96"/>
    <w:rsid w:val="00154EFB"/>
    <w:rsid w:val="00160B27"/>
    <w:rsid w:val="00161886"/>
    <w:rsid w:val="00161CB4"/>
    <w:rsid w:val="00163EF4"/>
    <w:rsid w:val="0016536F"/>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3BAD"/>
    <w:rsid w:val="00194427"/>
    <w:rsid w:val="001959BB"/>
    <w:rsid w:val="001A2A59"/>
    <w:rsid w:val="001A4232"/>
    <w:rsid w:val="001A5644"/>
    <w:rsid w:val="001A6B09"/>
    <w:rsid w:val="001A7118"/>
    <w:rsid w:val="001A77C1"/>
    <w:rsid w:val="001A7893"/>
    <w:rsid w:val="001B07D3"/>
    <w:rsid w:val="001B1DB2"/>
    <w:rsid w:val="001B292F"/>
    <w:rsid w:val="001B496B"/>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23DD"/>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E52"/>
    <w:rsid w:val="00252A06"/>
    <w:rsid w:val="002531FB"/>
    <w:rsid w:val="00253517"/>
    <w:rsid w:val="00253DBD"/>
    <w:rsid w:val="0025412E"/>
    <w:rsid w:val="0025450E"/>
    <w:rsid w:val="002546F7"/>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60C"/>
    <w:rsid w:val="002858F3"/>
    <w:rsid w:val="00287B5E"/>
    <w:rsid w:val="00290E4D"/>
    <w:rsid w:val="00291A94"/>
    <w:rsid w:val="00292430"/>
    <w:rsid w:val="00292A13"/>
    <w:rsid w:val="00293236"/>
    <w:rsid w:val="00295261"/>
    <w:rsid w:val="002954BF"/>
    <w:rsid w:val="00296159"/>
    <w:rsid w:val="002967A2"/>
    <w:rsid w:val="002970F6"/>
    <w:rsid w:val="002A18FF"/>
    <w:rsid w:val="002A221F"/>
    <w:rsid w:val="002A49B0"/>
    <w:rsid w:val="002A5CB8"/>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3F7A"/>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5222"/>
    <w:rsid w:val="00315B81"/>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62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0241"/>
    <w:rsid w:val="0040179B"/>
    <w:rsid w:val="00403CD5"/>
    <w:rsid w:val="00403F15"/>
    <w:rsid w:val="00404987"/>
    <w:rsid w:val="004049C5"/>
    <w:rsid w:val="00405E50"/>
    <w:rsid w:val="00410E94"/>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3D74"/>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20"/>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4F3F"/>
    <w:rsid w:val="004F53BF"/>
    <w:rsid w:val="004F54D6"/>
    <w:rsid w:val="004F5F57"/>
    <w:rsid w:val="004F6657"/>
    <w:rsid w:val="004F7116"/>
    <w:rsid w:val="004F78AE"/>
    <w:rsid w:val="005015E7"/>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1959"/>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8735B"/>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4A0C"/>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B41"/>
    <w:rsid w:val="00600E15"/>
    <w:rsid w:val="00601EBD"/>
    <w:rsid w:val="00603307"/>
    <w:rsid w:val="006033AC"/>
    <w:rsid w:val="00603AC2"/>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08"/>
    <w:rsid w:val="00647FDE"/>
    <w:rsid w:val="00652756"/>
    <w:rsid w:val="00654086"/>
    <w:rsid w:val="0065425F"/>
    <w:rsid w:val="00655AD0"/>
    <w:rsid w:val="00655DC0"/>
    <w:rsid w:val="006609AD"/>
    <w:rsid w:val="0066352F"/>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4D1"/>
    <w:rsid w:val="006938C5"/>
    <w:rsid w:val="006A31C8"/>
    <w:rsid w:val="006A464E"/>
    <w:rsid w:val="006A58AF"/>
    <w:rsid w:val="006A5E2A"/>
    <w:rsid w:val="006A5F4F"/>
    <w:rsid w:val="006A63F4"/>
    <w:rsid w:val="006B17F4"/>
    <w:rsid w:val="006B1A65"/>
    <w:rsid w:val="006B1D2A"/>
    <w:rsid w:val="006B25BA"/>
    <w:rsid w:val="006B4A30"/>
    <w:rsid w:val="006B509B"/>
    <w:rsid w:val="006B586B"/>
    <w:rsid w:val="006C05DA"/>
    <w:rsid w:val="006C10D2"/>
    <w:rsid w:val="006C1FBE"/>
    <w:rsid w:val="006C24EE"/>
    <w:rsid w:val="006C2815"/>
    <w:rsid w:val="006C3623"/>
    <w:rsid w:val="006D14CE"/>
    <w:rsid w:val="006D18BA"/>
    <w:rsid w:val="006D1DBB"/>
    <w:rsid w:val="006D3EAD"/>
    <w:rsid w:val="006D425B"/>
    <w:rsid w:val="006D47ED"/>
    <w:rsid w:val="006D5125"/>
    <w:rsid w:val="006E0145"/>
    <w:rsid w:val="006E0158"/>
    <w:rsid w:val="006E1DD6"/>
    <w:rsid w:val="006E23DA"/>
    <w:rsid w:val="006E2882"/>
    <w:rsid w:val="006E2C09"/>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34A"/>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7280"/>
    <w:rsid w:val="00757884"/>
    <w:rsid w:val="00757C14"/>
    <w:rsid w:val="00760A52"/>
    <w:rsid w:val="00762ABB"/>
    <w:rsid w:val="00762CAE"/>
    <w:rsid w:val="0076375F"/>
    <w:rsid w:val="00763FFF"/>
    <w:rsid w:val="00764FCE"/>
    <w:rsid w:val="00765596"/>
    <w:rsid w:val="00767243"/>
    <w:rsid w:val="007677F9"/>
    <w:rsid w:val="00772F84"/>
    <w:rsid w:val="00773EF9"/>
    <w:rsid w:val="007742C9"/>
    <w:rsid w:val="00774973"/>
    <w:rsid w:val="007752A4"/>
    <w:rsid w:val="007756B9"/>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32A0"/>
    <w:rsid w:val="007A370E"/>
    <w:rsid w:val="007A4050"/>
    <w:rsid w:val="007A5112"/>
    <w:rsid w:val="007A5F4A"/>
    <w:rsid w:val="007A5FF6"/>
    <w:rsid w:val="007B0268"/>
    <w:rsid w:val="007B1598"/>
    <w:rsid w:val="007B1629"/>
    <w:rsid w:val="007B2818"/>
    <w:rsid w:val="007C0072"/>
    <w:rsid w:val="007C2B11"/>
    <w:rsid w:val="007C3605"/>
    <w:rsid w:val="007C364F"/>
    <w:rsid w:val="007C4045"/>
    <w:rsid w:val="007C5005"/>
    <w:rsid w:val="007C7824"/>
    <w:rsid w:val="007D0284"/>
    <w:rsid w:val="007D0677"/>
    <w:rsid w:val="007D2171"/>
    <w:rsid w:val="007D22EF"/>
    <w:rsid w:val="007D349F"/>
    <w:rsid w:val="007D4A3F"/>
    <w:rsid w:val="007D4AC1"/>
    <w:rsid w:val="007D53B9"/>
    <w:rsid w:val="007D58D6"/>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61"/>
    <w:rsid w:val="008036CF"/>
    <w:rsid w:val="00803B03"/>
    <w:rsid w:val="00804A90"/>
    <w:rsid w:val="008050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22E8"/>
    <w:rsid w:val="00843479"/>
    <w:rsid w:val="00843A6E"/>
    <w:rsid w:val="00845303"/>
    <w:rsid w:val="008471A8"/>
    <w:rsid w:val="008473D9"/>
    <w:rsid w:val="00852889"/>
    <w:rsid w:val="008536AB"/>
    <w:rsid w:val="00854BD2"/>
    <w:rsid w:val="0085521E"/>
    <w:rsid w:val="00856093"/>
    <w:rsid w:val="00856CB3"/>
    <w:rsid w:val="00857283"/>
    <w:rsid w:val="00860031"/>
    <w:rsid w:val="00862368"/>
    <w:rsid w:val="00862464"/>
    <w:rsid w:val="00862B98"/>
    <w:rsid w:val="0086306C"/>
    <w:rsid w:val="008634D2"/>
    <w:rsid w:val="008636B9"/>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57D"/>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B9A"/>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5A77"/>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0F54"/>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5CEA"/>
    <w:rsid w:val="00966940"/>
    <w:rsid w:val="00966AEF"/>
    <w:rsid w:val="009672CA"/>
    <w:rsid w:val="00970962"/>
    <w:rsid w:val="009714A1"/>
    <w:rsid w:val="00972390"/>
    <w:rsid w:val="009735C1"/>
    <w:rsid w:val="009757A9"/>
    <w:rsid w:val="0097790F"/>
    <w:rsid w:val="00980853"/>
    <w:rsid w:val="00982076"/>
    <w:rsid w:val="00983F07"/>
    <w:rsid w:val="009844E4"/>
    <w:rsid w:val="00986616"/>
    <w:rsid w:val="00986A1E"/>
    <w:rsid w:val="00987368"/>
    <w:rsid w:val="00987A2A"/>
    <w:rsid w:val="00990383"/>
    <w:rsid w:val="00990987"/>
    <w:rsid w:val="009916D9"/>
    <w:rsid w:val="009928DD"/>
    <w:rsid w:val="00994A5A"/>
    <w:rsid w:val="0099577A"/>
    <w:rsid w:val="0099585E"/>
    <w:rsid w:val="00995DA7"/>
    <w:rsid w:val="00997077"/>
    <w:rsid w:val="0099764C"/>
    <w:rsid w:val="009A0F7B"/>
    <w:rsid w:val="009A30C8"/>
    <w:rsid w:val="009A4EDA"/>
    <w:rsid w:val="009A6197"/>
    <w:rsid w:val="009A62C1"/>
    <w:rsid w:val="009B1269"/>
    <w:rsid w:val="009B14A1"/>
    <w:rsid w:val="009B372F"/>
    <w:rsid w:val="009B3DB9"/>
    <w:rsid w:val="009B47E2"/>
    <w:rsid w:val="009B4E0F"/>
    <w:rsid w:val="009B673C"/>
    <w:rsid w:val="009B6788"/>
    <w:rsid w:val="009C0C95"/>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6B10"/>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8DE"/>
    <w:rsid w:val="00A75C39"/>
    <w:rsid w:val="00A770A1"/>
    <w:rsid w:val="00A77406"/>
    <w:rsid w:val="00A81ED3"/>
    <w:rsid w:val="00A827F2"/>
    <w:rsid w:val="00A832D2"/>
    <w:rsid w:val="00A84A53"/>
    <w:rsid w:val="00A85190"/>
    <w:rsid w:val="00A871B6"/>
    <w:rsid w:val="00A90696"/>
    <w:rsid w:val="00A92389"/>
    <w:rsid w:val="00A93381"/>
    <w:rsid w:val="00A938BE"/>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5A6"/>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1C6F"/>
    <w:rsid w:val="00AF25D9"/>
    <w:rsid w:val="00AF2A86"/>
    <w:rsid w:val="00AF4737"/>
    <w:rsid w:val="00AF5584"/>
    <w:rsid w:val="00AF64F6"/>
    <w:rsid w:val="00B006FA"/>
    <w:rsid w:val="00B01113"/>
    <w:rsid w:val="00B01690"/>
    <w:rsid w:val="00B030F6"/>
    <w:rsid w:val="00B05536"/>
    <w:rsid w:val="00B05628"/>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6F1E"/>
    <w:rsid w:val="00B4729A"/>
    <w:rsid w:val="00B47D6E"/>
    <w:rsid w:val="00B5517B"/>
    <w:rsid w:val="00B620B9"/>
    <w:rsid w:val="00B62509"/>
    <w:rsid w:val="00B64900"/>
    <w:rsid w:val="00B664FF"/>
    <w:rsid w:val="00B66BF8"/>
    <w:rsid w:val="00B66EB5"/>
    <w:rsid w:val="00B6732F"/>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1394"/>
    <w:rsid w:val="00BA2299"/>
    <w:rsid w:val="00BA5244"/>
    <w:rsid w:val="00BA6C25"/>
    <w:rsid w:val="00BA7273"/>
    <w:rsid w:val="00BA7BB6"/>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2DDB"/>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485F"/>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2FE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112"/>
    <w:rsid w:val="00CA2D8D"/>
    <w:rsid w:val="00CA3EC1"/>
    <w:rsid w:val="00CA400B"/>
    <w:rsid w:val="00CA5414"/>
    <w:rsid w:val="00CA7AF1"/>
    <w:rsid w:val="00CA7F5F"/>
    <w:rsid w:val="00CB078B"/>
    <w:rsid w:val="00CB0F48"/>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6480"/>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27F"/>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74E"/>
    <w:rsid w:val="00D26E10"/>
    <w:rsid w:val="00D27877"/>
    <w:rsid w:val="00D30289"/>
    <w:rsid w:val="00D313F6"/>
    <w:rsid w:val="00D3162C"/>
    <w:rsid w:val="00D32D20"/>
    <w:rsid w:val="00D335DB"/>
    <w:rsid w:val="00D34FBB"/>
    <w:rsid w:val="00D354FB"/>
    <w:rsid w:val="00D358CA"/>
    <w:rsid w:val="00D3632D"/>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DE9"/>
    <w:rsid w:val="00D63E18"/>
    <w:rsid w:val="00D66B44"/>
    <w:rsid w:val="00D70B76"/>
    <w:rsid w:val="00D72CCB"/>
    <w:rsid w:val="00D72DF2"/>
    <w:rsid w:val="00D72F2B"/>
    <w:rsid w:val="00D74E37"/>
    <w:rsid w:val="00D802B9"/>
    <w:rsid w:val="00D81208"/>
    <w:rsid w:val="00D83A1D"/>
    <w:rsid w:val="00D83F77"/>
    <w:rsid w:val="00D8466F"/>
    <w:rsid w:val="00D85CEF"/>
    <w:rsid w:val="00D8643E"/>
    <w:rsid w:val="00D9096F"/>
    <w:rsid w:val="00D92A4E"/>
    <w:rsid w:val="00D937E4"/>
    <w:rsid w:val="00D93837"/>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284"/>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2782A"/>
    <w:rsid w:val="00E30881"/>
    <w:rsid w:val="00E31D6F"/>
    <w:rsid w:val="00E32DD4"/>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D4D"/>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09E4"/>
    <w:rsid w:val="00EA100B"/>
    <w:rsid w:val="00EA35C9"/>
    <w:rsid w:val="00EA415B"/>
    <w:rsid w:val="00EA546E"/>
    <w:rsid w:val="00EB021B"/>
    <w:rsid w:val="00EB12B5"/>
    <w:rsid w:val="00EB19F9"/>
    <w:rsid w:val="00EB2CC9"/>
    <w:rsid w:val="00EB30C0"/>
    <w:rsid w:val="00EB368D"/>
    <w:rsid w:val="00EB5448"/>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4615"/>
    <w:rsid w:val="00EE5AB4"/>
    <w:rsid w:val="00EE611C"/>
    <w:rsid w:val="00EE67FB"/>
    <w:rsid w:val="00EE7443"/>
    <w:rsid w:val="00EF0E3B"/>
    <w:rsid w:val="00EF20E6"/>
    <w:rsid w:val="00EF24CD"/>
    <w:rsid w:val="00EF2EF0"/>
    <w:rsid w:val="00EF3C80"/>
    <w:rsid w:val="00EF4831"/>
    <w:rsid w:val="00EF51F1"/>
    <w:rsid w:val="00EF65FA"/>
    <w:rsid w:val="00F0010E"/>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471"/>
    <w:rsid w:val="00F23678"/>
    <w:rsid w:val="00F2447A"/>
    <w:rsid w:val="00F247F5"/>
    <w:rsid w:val="00F24B47"/>
    <w:rsid w:val="00F25AF6"/>
    <w:rsid w:val="00F263AA"/>
    <w:rsid w:val="00F27ABA"/>
    <w:rsid w:val="00F3162A"/>
    <w:rsid w:val="00F316BF"/>
    <w:rsid w:val="00F31883"/>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802"/>
    <w:rsid w:val="00F813FD"/>
    <w:rsid w:val="00F848CE"/>
    <w:rsid w:val="00F85A6B"/>
    <w:rsid w:val="00F86A12"/>
    <w:rsid w:val="00F873FF"/>
    <w:rsid w:val="00F93339"/>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31C4"/>
    <w:rsid w:val="00FD5083"/>
    <w:rsid w:val="00FD73DF"/>
    <w:rsid w:val="00FD7FF4"/>
    <w:rsid w:val="00FE03A4"/>
    <w:rsid w:val="00FE2373"/>
    <w:rsid w:val="00FE4533"/>
    <w:rsid w:val="00FE45D2"/>
    <w:rsid w:val="00FE45F6"/>
    <w:rsid w:val="00FE56B9"/>
    <w:rsid w:val="00FE72DF"/>
    <w:rsid w:val="00FF306C"/>
    <w:rsid w:val="00FF4C84"/>
    <w:rsid w:val="00FF56FC"/>
    <w:rsid w:val="00FF631A"/>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 w:type="character" w:customStyle="1" w:styleId="CRCoverPageZchn">
    <w:name w:val="CR Cover Page Zchn"/>
    <w:link w:val="CRCoverPage"/>
    <w:qFormat/>
    <w:rsid w:val="005015E7"/>
    <w:rPr>
      <w:rFonts w:ascii="Arial" w:hAnsi="Arial"/>
      <w:lang w:val="en-GB"/>
    </w:rPr>
  </w:style>
  <w:style w:type="character" w:customStyle="1" w:styleId="15">
    <w:name w:val="15"/>
    <w:rsid w:val="002223DD"/>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1733142">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78678860">
      <w:bodyDiv w:val="1"/>
      <w:marLeft w:val="0"/>
      <w:marRight w:val="0"/>
      <w:marTop w:val="0"/>
      <w:marBottom w:val="0"/>
      <w:divBdr>
        <w:top w:val="none" w:sz="0" w:space="0" w:color="auto"/>
        <w:left w:val="none" w:sz="0" w:space="0" w:color="auto"/>
        <w:bottom w:val="none" w:sz="0" w:space="0" w:color="auto"/>
        <w:right w:val="none" w:sz="0" w:space="0" w:color="auto"/>
      </w:divBdr>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1067</Words>
  <Characters>6083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Lenovo-Mingzeng</cp:lastModifiedBy>
  <cp:revision>10</cp:revision>
  <cp:lastPrinted>2018-05-22T10:28:00Z</cp:lastPrinted>
  <dcterms:created xsi:type="dcterms:W3CDTF">2023-09-28T00:11:00Z</dcterms:created>
  <dcterms:modified xsi:type="dcterms:W3CDTF">2023-09-28T07:21:00Z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